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A1974">
      <w:pPr>
        <w:pStyle w:val="2"/>
        <w:keepNext/>
        <w:keepLines/>
        <w:pageBreakBefore w:val="0"/>
        <w:widowControl w:val="0"/>
        <w:kinsoku/>
        <w:wordWrap/>
        <w:overflowPunct/>
        <w:topLinePunct w:val="0"/>
        <w:autoSpaceDE/>
        <w:autoSpaceDN/>
        <w:bidi w:val="0"/>
        <w:adjustRightInd/>
        <w:snapToGrid/>
        <w:spacing w:before="100" w:after="100" w:line="240" w:lineRule="auto"/>
        <w:jc w:val="center"/>
        <w:textAlignment w:val="auto"/>
        <w:rPr>
          <w:rFonts w:hint="eastAsia" w:ascii="思源黑体 CN Heavy" w:hAnsi="思源黑体 CN Heavy" w:eastAsia="思源黑体 CN Heavy" w:cs="思源黑体 CN Heavy"/>
          <w:sz w:val="36"/>
          <w:szCs w:val="21"/>
          <w:lang w:val="en-US" w:eastAsia="zh-CN"/>
        </w:rPr>
      </w:pPr>
      <w:bookmarkStart w:id="0" w:name="_GoBack"/>
      <w:r>
        <w:rPr>
          <w:rFonts w:hint="eastAsia" w:ascii="思源黑体 CN Heavy" w:hAnsi="思源黑体 CN Heavy" w:eastAsia="思源黑体 CN Heavy" w:cs="思源黑体 CN Heavy"/>
          <w:sz w:val="36"/>
          <w:szCs w:val="21"/>
        </w:rPr>
        <w:t>2026年招标采购从业人员</w:t>
      </w:r>
      <w:r>
        <w:rPr>
          <w:rFonts w:hint="eastAsia" w:ascii="思源黑体 CN Heavy" w:hAnsi="思源黑体 CN Heavy" w:eastAsia="思源黑体 CN Heavy" w:cs="思源黑体 CN Heavy"/>
          <w:sz w:val="36"/>
          <w:szCs w:val="21"/>
          <w:lang w:val="en-US" w:eastAsia="zh-CN"/>
        </w:rPr>
        <w:t>考试题库APP推荐</w:t>
      </w:r>
    </w:p>
    <w:p w14:paraId="5BDB3DBC">
      <w:pPr>
        <w:pStyle w:val="2"/>
        <w:keepNext/>
        <w:keepLines/>
        <w:pageBreakBefore w:val="0"/>
        <w:widowControl w:val="0"/>
        <w:kinsoku/>
        <w:wordWrap/>
        <w:overflowPunct/>
        <w:topLinePunct w:val="0"/>
        <w:autoSpaceDE/>
        <w:autoSpaceDN/>
        <w:bidi w:val="0"/>
        <w:adjustRightInd/>
        <w:snapToGrid/>
        <w:spacing w:before="100" w:after="100" w:line="240" w:lineRule="auto"/>
        <w:jc w:val="center"/>
        <w:textAlignment w:val="auto"/>
        <w:rPr>
          <w:rFonts w:hint="eastAsia" w:ascii="思源黑体 CN Light" w:hAnsi="思源黑体 CN Light" w:eastAsia="思源黑体 CN Light" w:cs="思源黑体 CN Light"/>
        </w:rPr>
      </w:pPr>
      <w:r>
        <w:rPr>
          <w:rFonts w:hint="eastAsia" w:ascii="思源黑体 CN Heavy" w:hAnsi="思源黑体 CN Heavy" w:eastAsia="思源黑体 CN Heavy" w:cs="思源黑体 CN Heavy"/>
          <w:sz w:val="36"/>
          <w:szCs w:val="21"/>
        </w:rPr>
        <w:t>初级测评《采购法律法规》考核题库及答案解析</w:t>
      </w:r>
    </w:p>
    <w:bookmarkEnd w:id="0"/>
    <w:p w14:paraId="1B71DA05">
      <w:pPr>
        <w:keepNext w:val="0"/>
        <w:keepLines w:val="0"/>
        <w:pageBreakBefore w:val="0"/>
        <w:widowControl w:val="0"/>
        <w:kinsoku/>
        <w:wordWrap/>
        <w:overflowPunct/>
        <w:topLinePunct w:val="0"/>
        <w:autoSpaceDE/>
        <w:autoSpaceDN/>
        <w:bidi w:val="0"/>
        <w:adjustRightInd/>
        <w:snapToGrid/>
        <w:spacing w:line="48" w:lineRule="auto"/>
        <w:textAlignment w:val="auto"/>
        <w:rPr>
          <w:rFonts w:hint="eastAsia" w:ascii="思源黑体 CN Medium" w:hAnsi="思源黑体 CN Medium" w:eastAsia="思源黑体 CN Medium" w:cs="思源黑体 CN Medium"/>
          <w:b w:val="0"/>
          <w:bCs w:val="0"/>
          <w:highlight w:val="yellow"/>
        </w:rPr>
      </w:pPr>
      <w:r>
        <w:rPr>
          <w:rFonts w:hint="eastAsia" w:ascii="思源黑体 CN Medium" w:hAnsi="思源黑体 CN Medium" w:eastAsia="思源黑体 CN Medium" w:cs="思源黑体 CN Medium"/>
          <w:b w:val="0"/>
          <w:bCs w:val="0"/>
          <w:color w:val="FF0000"/>
          <w:highlight w:val="yellow"/>
        </w:rPr>
        <w:t>【优题宝】招标采购从业人员题库</w:t>
      </w:r>
      <w:r>
        <w:rPr>
          <w:rFonts w:hint="eastAsia" w:ascii="思源黑体 CN Medium" w:hAnsi="思源黑体 CN Medium" w:eastAsia="思源黑体 CN Medium" w:cs="思源黑体 CN Medium"/>
          <w:b w:val="0"/>
          <w:bCs w:val="0"/>
          <w:highlight w:val="yellow"/>
        </w:rPr>
        <w:t>是根据最新考试大纲要求，结合近年来考试真题的重难点进行汇编整理组成的全真模拟试题，考生们可以进行专项训练，查漏补缺巩固知识点。</w:t>
      </w:r>
    </w:p>
    <w:p w14:paraId="1A2B0193">
      <w:pPr>
        <w:keepNext w:val="0"/>
        <w:keepLines w:val="0"/>
        <w:pageBreakBefore w:val="0"/>
        <w:widowControl w:val="0"/>
        <w:kinsoku/>
        <w:wordWrap/>
        <w:overflowPunct/>
        <w:topLinePunct w:val="0"/>
        <w:autoSpaceDE/>
        <w:autoSpaceDN/>
        <w:bidi w:val="0"/>
        <w:adjustRightInd/>
        <w:snapToGrid/>
        <w:spacing w:line="48" w:lineRule="auto"/>
        <w:textAlignment w:val="auto"/>
        <w:rPr>
          <w:rFonts w:hint="eastAsia" w:ascii="思源黑体 CN Medium" w:hAnsi="思源黑体 CN Medium" w:eastAsia="思源黑体 CN Medium" w:cs="思源黑体 CN Medium"/>
          <w:b w:val="0"/>
          <w:bCs w:val="0"/>
        </w:rPr>
      </w:pPr>
      <w:r>
        <w:rPr>
          <w:rFonts w:hint="eastAsia" w:ascii="思源黑体 CN Medium" w:hAnsi="思源黑体 CN Medium" w:eastAsia="思源黑体 CN Medium" w:cs="思源黑体 CN Medium"/>
          <w:b w:val="0"/>
          <w:bCs w:val="0"/>
        </w:rPr>
        <w:t>本题库对热点考题和重难点题目都进行了仔细的整理和编辑，相信考生在经过了针对性的刷题练习后，对于考试内容会更加有自信和把握。以下为本考试部分试题内容。</w:t>
      </w:r>
    </w:p>
    <w:p w14:paraId="2D6E18ED">
      <w:pPr>
        <w:keepNext w:val="0"/>
        <w:keepLines w:val="0"/>
        <w:pageBreakBefore w:val="0"/>
        <w:widowControl w:val="0"/>
        <w:kinsoku/>
        <w:wordWrap/>
        <w:overflowPunct/>
        <w:topLinePunct w:val="0"/>
        <w:autoSpaceDE/>
        <w:autoSpaceDN/>
        <w:bidi w:val="0"/>
        <w:adjustRightInd/>
        <w:snapToGrid/>
        <w:spacing w:line="48" w:lineRule="auto"/>
        <w:textAlignment w:val="auto"/>
        <w:rPr>
          <w:rFonts w:hint="eastAsia" w:ascii="思源黑体 CN Medium" w:hAnsi="思源黑体 CN Medium" w:eastAsia="思源黑体 CN Medium" w:cs="思源黑体 CN Medium"/>
          <w:b w:val="0"/>
          <w:bCs w:val="0"/>
        </w:rPr>
      </w:pPr>
    </w:p>
    <w:p w14:paraId="7741F59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1.机电产品国际招标的综合评价法的评价内容包括投标文件的商务、技术、价格、服务及其他评价，其中属于技术评价因素的是（  ）。</w:t>
      </w:r>
    </w:p>
    <w:p w14:paraId="09EE12A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A.付款条件及方式</w:t>
      </w:r>
    </w:p>
    <w:p w14:paraId="605F370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B.项目管理</w:t>
      </w:r>
    </w:p>
    <w:p w14:paraId="0EF96EB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C.技术支持</w:t>
      </w:r>
    </w:p>
    <w:p w14:paraId="2695CCF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D.培训方案</w:t>
      </w:r>
    </w:p>
    <w:p w14:paraId="7D2A12F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7DB1BAF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答案解析：机电产品国际招标的综合评价法中，技术评价因素包括：方案设计、工艺配置、功能要求、性能指标、项目管理、专业能力、项目实施计划、质量保证体系及交货、安装、调试和验收方案等。</w:t>
      </w:r>
    </w:p>
    <w:p w14:paraId="048EC1A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2.货物与工程的最大区别在于货物具有（  ）。</w:t>
      </w:r>
    </w:p>
    <w:p w14:paraId="2589BC2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A.可移动性</w:t>
      </w:r>
    </w:p>
    <w:p w14:paraId="0DC4DF4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B.技术性</w:t>
      </w:r>
    </w:p>
    <w:p w14:paraId="5BADF38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C.产品的多样性</w:t>
      </w:r>
    </w:p>
    <w:p w14:paraId="46AC002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D.来源的广泛性</w:t>
      </w:r>
    </w:p>
    <w:p w14:paraId="16A94F7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7D334AB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货物是指各种形态和种类的物品，包括原材料、燃料、设备、产品等。工程是指土木建筑或其他生产、制造部门用比较大而复杂的设备来进行的工作，如土木工程、机械工程、化学工程、采矿工程、水利工程等。货物与工程的最大区别在于货物具有可移动性，而工程是固定在一定的地点，不能移动。</w:t>
      </w:r>
    </w:p>
    <w:p w14:paraId="75E2C87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3.在服务招标文件中，（  ）是特许经营项目融资招标文件的核心内容。</w:t>
      </w:r>
    </w:p>
    <w:p w14:paraId="626FC0E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A.投标人须知</w:t>
      </w:r>
    </w:p>
    <w:p w14:paraId="225CD9F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B.项目协议</w:t>
      </w:r>
    </w:p>
    <w:p w14:paraId="5CFA7E0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C.投标文件格式</w:t>
      </w:r>
    </w:p>
    <w:p w14:paraId="15EFAEA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D.参考资料</w:t>
      </w:r>
    </w:p>
    <w:p w14:paraId="21423A8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7082FE4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文件的主要内容：特许经营项目融资招标文件包括投标邀请书或招标公告、投标人须知、项目协议、投标文件格式、参考资料等。投标邀请书或招标公告、投标人须知具体内容和格式可以参照工程施工招标文件，本节重点介绍项目协议、投标文件格式和参考资料的特点。项目协议。项目协议（草案）是特许经营项目融资招标文件的核心内容。</w:t>
      </w:r>
    </w:p>
    <w:p w14:paraId="2C134F2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4.某依法必须招标的工程建设项目，下列情形中，评标委员会应将投标文件作废标处理的是（  ）。</w:t>
      </w:r>
    </w:p>
    <w:p w14:paraId="75445BF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A.若采用资格预审，投标文件中仅附联合体共同投标协议书的复印件</w:t>
      </w:r>
    </w:p>
    <w:p w14:paraId="07571D8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B.投标文件没有法定代表人签字，但有法定代表授权人签字</w:t>
      </w:r>
    </w:p>
    <w:p w14:paraId="642A72C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C.投标报价明显低于其他投标报价</w:t>
      </w:r>
    </w:p>
    <w:p w14:paraId="46F9575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D.货物主要技术指标超过了招标文件规定的允许偏差</w:t>
      </w:r>
    </w:p>
    <w:p w14:paraId="6FC7C43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04E19D4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D项，任何一项主要技术指标和参数不满足招标文件要求的，视为对招标文件的实质性不满足，投标文件应按废标处理。A项，联合体投标的投标时应附有联合体各方投标协议，不应作废标处理。B项，有法定代表授权人签字符合形式评审，不应作废标处理。C项，若评标委员会发现投标人的投标价或主要单项工程报价明显低于同标段其他投标人报价时，应要求该投标人做出书面说明并提供相关证明材料。如果投标人提供了有说服力证明材料，评标委员会也没有充分的证据证明投标人低于成本价竞标，评标委员会应当接受该投标人的投标报价。</w:t>
      </w:r>
    </w:p>
    <w:p w14:paraId="074C7F4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5.下列不属于设计-施工一体化承包方式的典型模式的是（  ）。</w:t>
      </w:r>
    </w:p>
    <w:p w14:paraId="0118475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A.“设计+施工”</w:t>
      </w:r>
    </w:p>
    <w:p w14:paraId="6332794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B.“设计-招标-施工”</w:t>
      </w:r>
    </w:p>
    <w:p w14:paraId="3419681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C.“设计采购建造”</w:t>
      </w:r>
    </w:p>
    <w:p w14:paraId="48DC518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D.“工厂设备与设计+施工”</w:t>
      </w:r>
    </w:p>
    <w:p w14:paraId="57A4B54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74962EC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设计-施工一体化承包方式的典型模式有：“设计+施工”（D+B）、“设计采购建造”（EPC）及“工厂设备与设计+施工”（P&amp;D+B）等。而“设计-招标-施工”（DBB）是传统的项目管理模式，不属于设计-施工一体化承包方式的典型模式。选项判断：A选项“设计+施工”属于设计-施工一体化承包方式的典型模式；C选项“设计采购建造”属于设计-施工一体化承包方式的典型模式；D选项“工厂设备与设计+施工”属于设计-施工一体化承包方式的典型模式；B选项“设计-招标-施工”不属于。故本题选：B。</w:t>
      </w:r>
    </w:p>
    <w:p w14:paraId="69F729A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6.下列关于对招标投标行政争议的解决程序的叙述中，错误的是（  ）。</w:t>
      </w:r>
    </w:p>
    <w:p w14:paraId="61A6A12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A.民事主体必须先通过行政复议才能向人民法院提出行政诉讼</w:t>
      </w:r>
    </w:p>
    <w:p w14:paraId="42BAE0C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B.在法定行政复议期限内不得向人民法院提起行政诉讼</w:t>
      </w:r>
    </w:p>
    <w:p w14:paraId="1EAB4CE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C.人民法院已经依法受理行政诉讼的，不得申请行政复议</w:t>
      </w:r>
    </w:p>
    <w:p w14:paraId="5369CA2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D.民事主体可直接向人民法院提出行政诉讼</w:t>
      </w:r>
    </w:p>
    <w:p w14:paraId="1EC487E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4F4AE89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对招标投标行政争议的解决程序包括行政复议和行政诉讼。一般情况下，民事主体可以直接向人民法院提出行政诉讼，而不是必须先通过行政复议。同时，在法定行政复议期限内不得向人民法院提起行政诉讼，人民法院已经依法受理行政诉讼的，不得申请行政复议。</w:t>
      </w:r>
    </w:p>
    <w:p w14:paraId="668DDB8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7.政府投资4500万元修建市政道路，其中监理合同估算价45万元人民币。该工程监理应该采用的采购方式是（  ）。</w:t>
      </w:r>
    </w:p>
    <w:p w14:paraId="091B891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A.公开招标</w:t>
      </w:r>
    </w:p>
    <w:p w14:paraId="1FB0B88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B.邀请招标</w:t>
      </w:r>
    </w:p>
    <w:p w14:paraId="60DE555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C.询价</w:t>
      </w:r>
    </w:p>
    <w:p w14:paraId="69F424A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D.竞争性谈判</w:t>
      </w:r>
    </w:p>
    <w:p w14:paraId="785767E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29F74D7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中华人民共和国招标投标法》及其实施条例，工程建设项目的勘察、设计、施工、监理以及与工程建设有关的重要设备、材料等的采购，达到下列标准之一的，必须进行招标：（1）施工单项合同估算价在400万元人民币以上；（2）重要设备、材料等货物的采购，单项合同估算价在200万元人民币以上；（3）勘察、设计、监理等服务的采购，单项合同估算价在100万元人民币以上。本题中监理合同估算价为45万元，低于100万元，不属于必须招标的项目。但政府投资4500万元修建市政道路，属于使用国有资金投资的项目，且监理合同估算价在50万元以上，根据《工程建设项目招标范围和规模标准规定》，国有资金投资的项目，单项合同估算价在50万元以上的，必须进行招标。因此，该工程监理应该采用公开招标的采购方式。</w:t>
      </w:r>
    </w:p>
    <w:p w14:paraId="2585234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8.当潜在投标人过多时，资格预审可采用（  ）方法。</w:t>
      </w:r>
    </w:p>
    <w:p w14:paraId="18956C7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A.合格制</w:t>
      </w:r>
    </w:p>
    <w:p w14:paraId="2291A0C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B.有限数量制</w:t>
      </w:r>
    </w:p>
    <w:p w14:paraId="79AA59D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C.筛选制</w:t>
      </w:r>
    </w:p>
    <w:p w14:paraId="3E41FA9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D.竞争制</w:t>
      </w:r>
    </w:p>
    <w:p w14:paraId="328B28A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0D6B181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格预审是指在投标前对潜在投标人进行的资格审查。当潜在投标人过多时，采用有限数量制可以限制通过资格预审的投标人数量，从而提高招标效率和降低招标成本。合格制是指只要潜在投标人符合资格预审的基本条件，就可以通过资格预审；筛选制和竞争制不是资格预审的常用方法。</w:t>
      </w:r>
    </w:p>
    <w:p w14:paraId="72C1761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9.鲁布革水电水系统是我国第一个利用世界银行贷款并按世界银行规定项目管理的工程，采用（  ）方式选择总承包单位，极大地推动了我国工程建设项目管理方式的改革和发展。</w:t>
      </w:r>
    </w:p>
    <w:p w14:paraId="1C3A1DC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A.国际竞争性招标</w:t>
      </w:r>
    </w:p>
    <w:p w14:paraId="3796C13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B.有限国标招标</w:t>
      </w:r>
    </w:p>
    <w:p w14:paraId="4141A50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C.国内竞争性招标</w:t>
      </w:r>
    </w:p>
    <w:p w14:paraId="427FAA8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D.直接签订合同</w:t>
      </w:r>
    </w:p>
    <w:p w14:paraId="753D37D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6D478AB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国际竞争性招标是在世界范围内进行招标，国内外合格的投标商均可以投标。鲁布革水电水系统采用国际竞争性招标方式选择总承包单位，符合其是利用世界银行贷款并按世界银行规定项目管理的工程这一特点。这种方式能促进公平竞争，有利于提高工程质量和降低成本。</w:t>
      </w:r>
    </w:p>
    <w:p w14:paraId="41658C9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10.评标活动应当遵循的原则不包括（  ）。</w:t>
      </w:r>
    </w:p>
    <w:p w14:paraId="1AD4E3F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A.公平原则</w:t>
      </w:r>
    </w:p>
    <w:p w14:paraId="69F99D8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B.公正原则</w:t>
      </w:r>
    </w:p>
    <w:p w14:paraId="3BC84D9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C.专业原则</w:t>
      </w:r>
    </w:p>
    <w:p w14:paraId="7C260CF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D.科学原则</w:t>
      </w:r>
    </w:p>
    <w:p w14:paraId="1A4860A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1C9C15E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评标活动应当遵循公平、公正、科学、择优的原则。公平原则是指评标活动中，对所有投标人均应平等对待，不得歧视任何投标人；公正原则是指评标过程应客观、公正，不受任何外界因素的干扰；科学原则是指评标应采用科学的方法和标准，以保证评标结果的准确性和合理性；择优原则是指评标应根据投标人的综合实力和投标方案的优劣，选择最符合招标要求的投标人。而专业原则并不属于评标活动应当遵循的原则。</w:t>
      </w:r>
    </w:p>
    <w:p w14:paraId="7C48EE7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11.招标人可对投标使用的价格术语作出限定，一般情况下，要求国内投标人以（  ）报价。</w:t>
      </w:r>
    </w:p>
    <w:p w14:paraId="7BAEDC1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A.FOB</w:t>
      </w:r>
    </w:p>
    <w:p w14:paraId="09978F1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B.CFR</w:t>
      </w:r>
    </w:p>
    <w:p w14:paraId="27A998C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C.DDP</w:t>
      </w:r>
    </w:p>
    <w:p w14:paraId="0BF6CFA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D.CIF</w:t>
      </w:r>
    </w:p>
    <w:p w14:paraId="2A74C75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0AB244C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人可对投标使用的价格术语作出限定，一般情况下，要求国内投标人以DDP（完税后交货）报价。FOB（船上交货）、CFR（成本加运费）、CIF（成本、保险费加运费）通常用于国际贸易。而DDP更适用于国内贸易，它要求卖方在指定的目的地，将货物交给买方，并承担将货物运至目的地的一切风险和费用，包括关税、捐税和其他费用。</w:t>
      </w:r>
    </w:p>
    <w:p w14:paraId="4E873E8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12.政府机构下达的科技计划课题，中标人应该与政府科技主管部门的招标人签订（  ）。</w:t>
      </w:r>
    </w:p>
    <w:p w14:paraId="156FC15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A.科技项目合同</w:t>
      </w:r>
    </w:p>
    <w:p w14:paraId="46825AF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B.技术项目合同</w:t>
      </w:r>
    </w:p>
    <w:p w14:paraId="0F99031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C.商务项目合同</w:t>
      </w:r>
    </w:p>
    <w:p w14:paraId="4BCC43F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D.经济项目合同</w:t>
      </w:r>
    </w:p>
    <w:p w14:paraId="47629AB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755294F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政府机构下达的科技计划课题，中标人需要与政府科技主管部门的招标人签订科技项目合同，以明确双方在科技项目中的权利和义务。选项判断：B选项技术项目合同范围较窄，不能完全涵盖政府科技计划课题的内容；C选项商务项目合同主要涉及商业交易等方面，与科技计划课题不太相关；D选项经济项目合同重点在于经济方面的约定，也不太符合科技计划课题的性质。而科技项目合同能准确体现政府科技计划课题的特点和要求。故本题选：A。</w:t>
      </w:r>
    </w:p>
    <w:p w14:paraId="3FC6773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13.各级国家机关、事业单位和团体组织，使用财政性资金，依据《政府采购法》及有关规定采购货物、工程和服务的行为，属于（  ）。</w:t>
      </w:r>
    </w:p>
    <w:p w14:paraId="3A1F623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A.企业采购</w:t>
      </w:r>
    </w:p>
    <w:p w14:paraId="6E0B410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B.政府采购</w:t>
      </w:r>
    </w:p>
    <w:p w14:paraId="6A7E577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C.个人采购</w:t>
      </w:r>
    </w:p>
    <w:p w14:paraId="201E125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D.国际采购</w:t>
      </w:r>
    </w:p>
    <w:p w14:paraId="2B3D76D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1CFCD69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答案解析：政府采购是指各级国家机关、事业单位和团体组织，使用财政性资金，依据《政府采购法》及有关规定采购货物、工程和服务的行为。题干描述的正是政府采购的定义。</w:t>
      </w:r>
    </w:p>
    <w:p w14:paraId="687403F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14.《中华人民共和国招标投标法》规定：投标人应在招标文件要求递交投标文件的（  ），将投标文件送达招标文件规定的地点。</w:t>
      </w:r>
    </w:p>
    <w:p w14:paraId="319D581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A.开始时间前</w:t>
      </w:r>
    </w:p>
    <w:p w14:paraId="0F595AE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B.截止时间前</w:t>
      </w:r>
    </w:p>
    <w:p w14:paraId="264D004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C.截止时间后3日内</w:t>
      </w:r>
    </w:p>
    <w:p w14:paraId="5134939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D.截止时间后5日内</w:t>
      </w:r>
    </w:p>
    <w:p w14:paraId="2B9274B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59CC69E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中华人民共和国招标投标法》中明确规定投标人应在招标文件要求递交投标文件的截止时间前，将投标文件送达招标文件规定的地点。这样可以确保投标的有效性和公平性，避免逾期投标等情况的发生。</w:t>
      </w:r>
    </w:p>
    <w:p w14:paraId="23EB8E2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15.资格审查应在坚持“公开、公平、公正和诚实信用”的基础上，遵守（  ）原则。</w:t>
      </w:r>
    </w:p>
    <w:p w14:paraId="21D16A2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A.客观、科学和合理</w:t>
      </w:r>
    </w:p>
    <w:p w14:paraId="2033774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B.科学、择优和合法</w:t>
      </w:r>
    </w:p>
    <w:p w14:paraId="6B167D6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C.客观、择优和合理</w:t>
      </w:r>
    </w:p>
    <w:p w14:paraId="6BC299B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D.科学、合理和合法</w:t>
      </w:r>
    </w:p>
    <w:p w14:paraId="3EACA44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0CFB64B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答案解析：资格审查应在坚持“公开、公平、公正和诚实信用”的基础上，遵守科学、择优和合法原则。</w:t>
      </w:r>
    </w:p>
    <w:p w14:paraId="43A1B82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16.国际竞争性招标的基本特点不包括（  ）。</w:t>
      </w:r>
    </w:p>
    <w:p w14:paraId="6672F00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A.需要在世界银行或亚洲开发银行网站上公开刊登总采购通告</w:t>
      </w:r>
    </w:p>
    <w:p w14:paraId="32CD296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B.土建工程招标通常需要进行资格预审</w:t>
      </w:r>
    </w:p>
    <w:p w14:paraId="4F54953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C.投标报价可以采用信函、传真或电子文件的形式提交</w:t>
      </w:r>
    </w:p>
    <w:p w14:paraId="09B95FD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D.采购人有权拒绝所有投标或重新招标</w:t>
      </w:r>
    </w:p>
    <w:p w14:paraId="388161E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5CE9AA4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国际竞争性招标的基本特点包括：需要在世界银行或亚洲开发银行网站上公开刊登总采购通告；土建工程招标通常需要进行资格预审；采购人有权拒绝所有投标或重新招标。而投标报价应采用书面形式提交，不可以采用信函、传真或电子文件的形式。选项判断：A选项符合国际竞争性招标需公开刊登总采购通告的特点；B选项土建工程招标进行资格预审也是其常见特点；C选项投标报价的形式错误；D选项采购人有权拒绝所有投标或重新招标是其基本特点之一。故本题选：C。</w:t>
      </w:r>
    </w:p>
    <w:p w14:paraId="2AFC0BD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17.招标项目（  ）工作由招标人依法组建的评标委员会按照文件约定的评标方法、标准进行评标。</w:t>
      </w:r>
    </w:p>
    <w:p w14:paraId="238797C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A.招标</w:t>
      </w:r>
    </w:p>
    <w:p w14:paraId="7F4A14D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B.投标</w:t>
      </w:r>
    </w:p>
    <w:p w14:paraId="1F0A87E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C.中标</w:t>
      </w:r>
    </w:p>
    <w:p w14:paraId="13D1E13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D.评标</w:t>
      </w:r>
    </w:p>
    <w:p w14:paraId="510C8E2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6AC7793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答案解析：根据《中华人民共和国招标投标法》规定，评标由招标人依法组建的评标委员会负责。评标委员会应当按照招标文件确定的评标标准和方法，对投标文件进行评审和比较，确定中标候选人。</w:t>
      </w:r>
    </w:p>
    <w:p w14:paraId="147F41F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18.在货物项目招标方案中，货物招标批次和招标时间顺序安排主要取决于（  ）。</w:t>
      </w:r>
    </w:p>
    <w:p w14:paraId="41FD315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A.用户的实际需求时间</w:t>
      </w:r>
    </w:p>
    <w:p w14:paraId="2C7EBC4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B.生产进度和计划要求</w:t>
      </w:r>
    </w:p>
    <w:p w14:paraId="211BA94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C.用户的潜在需求时间</w:t>
      </w:r>
    </w:p>
    <w:p w14:paraId="28CA427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D.货物的用途</w:t>
      </w:r>
    </w:p>
    <w:p w14:paraId="367C18C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475D1BB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在货物项目招标方案中，货物招标批次和招标时间顺序安排主要取决于货物的用途。因为不同用途的货物可能有不同的生产周期、交付时间要求以及与其他项目的关联程度等，这些因素都会影响招标的批次和时间顺序安排。而用户的实际需求时间、生产进度和计划要求以及用户的潜在需求时间虽然也会对招标安排产生一定影响，但相较于货物的用途来说，不是最主要的决定因素。</w:t>
      </w:r>
    </w:p>
    <w:p w14:paraId="720D355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19.下列选项中，不属于资格预审对于招标人的优点是（  ）。</w:t>
      </w:r>
    </w:p>
    <w:p w14:paraId="76BC9EE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A.可以排除不合格的申请人</w:t>
      </w:r>
    </w:p>
    <w:p w14:paraId="162D0F0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B.节约了不合格申请人的投标成本</w:t>
      </w:r>
    </w:p>
    <w:p w14:paraId="3F5B751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C.简化评标工作</w:t>
      </w:r>
    </w:p>
    <w:p w14:paraId="566FBFE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D.表明了采购人对招标合同的兴趣</w:t>
      </w:r>
    </w:p>
    <w:p w14:paraId="2FD2FAC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2190297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答案解析：资格预审是指在招标活动中，招标人在发放招标文件前，对报名参加投标的申请人的承包能力、业绩、资格和资质、财物状况和信誉等进行审查，并确定合格的投标人名单的过程。</w:t>
      </w:r>
    </w:p>
    <w:p w14:paraId="6492B82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20.利用国内资金的机电产品国际招标项目，当遇到需重新组织开标或延期开标的情况时，如需对招标文件进行修改，应当在第二次投标截止日（  ）前，通过中国国际招标网将修改的内容及理由报相应主管部门备案。</w:t>
      </w:r>
    </w:p>
    <w:p w14:paraId="4D35FBB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A.5日</w:t>
      </w:r>
    </w:p>
    <w:p w14:paraId="574CB40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B.10日</w:t>
      </w:r>
    </w:p>
    <w:p w14:paraId="646D932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C.15日</w:t>
      </w:r>
    </w:p>
    <w:p w14:paraId="04C14EB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D.20日</w:t>
      </w:r>
    </w:p>
    <w:p w14:paraId="485D314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1989AF0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利用国内资金的机电产品国际招标项目，当投标截止时，投标人少于3家的，应依法重新组织招标，或招标代理机构可以发布投标截止和开标时间变更公告，延期开标。第一次投标截止日与变更公告注明的第二次投标截止日间隔不得少于7日。如需对招标文件进行修改，应当在第二次投标截止日15日前，通过中国国际招标网将修改的内容及理由报相应主管部门备案。</w:t>
      </w:r>
    </w:p>
    <w:p w14:paraId="4BC3E81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21.机电产品国际招标的综合评价法应当对每一项评价内容赋予相应的权重，其中价格权重小计不得低于30%，技术权重小计不得高于（  ）。</w:t>
      </w:r>
    </w:p>
    <w:p w14:paraId="5F35A97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A.40%</w:t>
      </w:r>
    </w:p>
    <w:p w14:paraId="23A2433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B.50%</w:t>
      </w:r>
    </w:p>
    <w:p w14:paraId="1562D30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C.60%</w:t>
      </w:r>
    </w:p>
    <w:p w14:paraId="594C9B2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D.75%</w:t>
      </w:r>
    </w:p>
    <w:p w14:paraId="3F68136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10FCCF7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答案解析：《机电产品国际招标投标实施办法（试行）》规定，综合评价法应当对每一项评价内容赋予相应的权重，其中价格权重小计不得低于30%，技术权重小计不得高于60%。</w:t>
      </w:r>
    </w:p>
    <w:p w14:paraId="655CE87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22.为避免发生串标现象，招标人可以编制，并应当在招标文件中公布的内容一般不包括（  ）。</w:t>
      </w:r>
    </w:p>
    <w:p w14:paraId="7AD5467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A.招标控制价格</w:t>
      </w:r>
    </w:p>
    <w:p w14:paraId="05C9AB9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B.最低投标限价</w:t>
      </w:r>
    </w:p>
    <w:p w14:paraId="5E2B0B3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C.采购预算额</w:t>
      </w:r>
    </w:p>
    <w:p w14:paraId="5EB53D5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D.明确最高投标限价的计算方法</w:t>
      </w:r>
    </w:p>
    <w:p w14:paraId="794946A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5243A19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编制标底。招标人根据招标项目的技术经济特点和需要可以自主决定招标是否编制标底。为了防止串标、围标和低于成本价竞争，并为评标分析对比提供参考依据，可以根据招标采购项目的特点、要求、市场价格及竞争情况，依据招标文件和有关定额规定编制招标项目的标底。标底信息和编制过程应当保密。为避免发生串标抬标现象，招标人也可以编制，并应当在招标文件中公布招标控制价格（最高投标限价）或采购预算额，或者明确最高投标限价的计算方法。</w:t>
      </w:r>
    </w:p>
    <w:p w14:paraId="61524FD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23.工程建设项目投标资格能力要素中的（  ）是衡量投标人是否具有承担所招标项目管理任务能力的重要依据。</w:t>
      </w:r>
    </w:p>
    <w:p w14:paraId="592A0D5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A.工程建设项目管理企业的专业资质</w:t>
      </w:r>
    </w:p>
    <w:p w14:paraId="7DA71AD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B.财务实力和融资能力</w:t>
      </w:r>
    </w:p>
    <w:p w14:paraId="60E13D7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C.类似工程建设项目管理业绩</w:t>
      </w:r>
    </w:p>
    <w:p w14:paraId="00CC20D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D.项目管理各类人员的资格能力条件</w:t>
      </w:r>
    </w:p>
    <w:p w14:paraId="1C2756B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2591518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类似工程建设项目管理业绩是衡量投标人是否具有承担所招标项目管理任务能力的重要依据。通过投标人以往类似项目的管理业绩，可以了解其在项目管理方面的经验、能力和水平，从而判断其是否有能力胜任当前的招标项目。工程建设项目管理企业的专业资质、财务实力和融资能力、项目管理各类人员的资格能力条件等也是投标资格能力要素的重要组成部分，但它们并不能直接反映投标人承担特定项目管理任务的能力。</w:t>
      </w:r>
    </w:p>
    <w:p w14:paraId="227B297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24.在工程建设项目招标中，控制落实工程造价的具体实施阶段是（  ）。</w:t>
      </w:r>
    </w:p>
    <w:p w14:paraId="4FCEA46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A.投标报价</w:t>
      </w:r>
    </w:p>
    <w:p w14:paraId="59E04BC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B.合同履行</w:t>
      </w:r>
    </w:p>
    <w:p w14:paraId="3FA4CE6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C.合同签订</w:t>
      </w:r>
    </w:p>
    <w:p w14:paraId="649F24C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D.合同中止</w:t>
      </w:r>
    </w:p>
    <w:p w14:paraId="6DF0FA8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352783F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在工程建设项目招标中，合同履行阶段是控制落实工程造价的具体实施阶段。在合同履行过程中，双方需要按照合同约定进行工程建设、支付款项等活动，这直接关系到工程造价的控制和落实。而投标报价是投标人对工程项目的报价，合同签订是确定双方权利和义务的过程，合同中止是合同履行的一种特殊情况。</w:t>
      </w:r>
    </w:p>
    <w:p w14:paraId="3A138AE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25.框架协议不应该限制国外的竞争并最多有（  ）年的期限。</w:t>
      </w:r>
    </w:p>
    <w:p w14:paraId="33C792D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A.3</w:t>
      </w:r>
    </w:p>
    <w:p w14:paraId="0315768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B.5</w:t>
      </w:r>
    </w:p>
    <w:p w14:paraId="61DC1EC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C.2</w:t>
      </w:r>
    </w:p>
    <w:p w14:paraId="75BA994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D.1</w:t>
      </w:r>
    </w:p>
    <w:p w14:paraId="6D0881B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7C408A0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题干，框架协议不应限制国外竞争且有期限要求。通常框架协议的期限会根据具体情况和相关规定来确定，一般来说，3年是一个较为常见的期限，既能够保证一定的稳定性和连续性，又不至于过长而缺乏灵活性。</w:t>
      </w:r>
    </w:p>
    <w:p w14:paraId="4EC419D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26.工程建设项目设计招标与工程和货物招标的重要区别之一是（  ）。</w:t>
      </w:r>
    </w:p>
    <w:p w14:paraId="7B8C626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A.投标文件所采用的语言</w:t>
      </w:r>
    </w:p>
    <w:p w14:paraId="764BA13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B.投标补偿费用的设定</w:t>
      </w:r>
    </w:p>
    <w:p w14:paraId="28B92A6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C.投标设计方案的设计深度</w:t>
      </w:r>
    </w:p>
    <w:p w14:paraId="57F6DAD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D.投标技术经济指标的分析深度要求</w:t>
      </w:r>
    </w:p>
    <w:p w14:paraId="1B41945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27A0F96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工程建设项目设计招标与工程和货物招标的重要区别之一是投标补偿费用的设定。在工程建设项目设计招标中，通常会设定投标补偿费用，以鼓励更多的投标人参与投标并提交高质量的设计方案。而在工程和货物招标中，一般不存在投标补偿费用的设定。</w:t>
      </w:r>
    </w:p>
    <w:p w14:paraId="195BA61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27.在特许项目投标资格能力要素中，（  ）是证明投标人是否有能力胜任招标项目的重要因素。</w:t>
      </w:r>
    </w:p>
    <w:p w14:paraId="494D6A4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A.类似项目业绩</w:t>
      </w:r>
    </w:p>
    <w:p w14:paraId="7DF7102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B.财务实力和融资能力</w:t>
      </w:r>
    </w:p>
    <w:p w14:paraId="17D0F1E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C.投标人信誉</w:t>
      </w:r>
    </w:p>
    <w:p w14:paraId="2981D6F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D.联合体与分包</w:t>
      </w:r>
    </w:p>
    <w:p w14:paraId="63CD81E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607F39A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在特许项目投标资格能力要素中，类似项目业绩是证明投标人是否有能力胜任招标项目的重要因素。类似项目业绩可以反映投标人在过去类似项目中的经验和能力，包括项目管理、技术能力、质量控制等方面。通过考察投标人的类似项目业绩，可以评估其是否具备承担招标项目的能力和经验。</w:t>
      </w:r>
    </w:p>
    <w:p w14:paraId="3A73063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28.在资格预审的评审程序中，组建资格审查委员会时，有关技术、经济等方面的专家应当从事相关领域工作满（  ）并具有高级职称或者具有同等专业水平，不得少于成员总数的2/3。</w:t>
      </w:r>
    </w:p>
    <w:p w14:paraId="7E7F97D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A.4年</w:t>
      </w:r>
    </w:p>
    <w:p w14:paraId="5A08B4E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B.5年</w:t>
      </w:r>
    </w:p>
    <w:p w14:paraId="10696A3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C.6年</w:t>
      </w:r>
    </w:p>
    <w:p w14:paraId="3B065B7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D.8年</w:t>
      </w:r>
    </w:p>
    <w:p w14:paraId="0E1E074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652F3C9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在资格预审的评审程序中，组建资格审查委员会时，有关技术、经济等方面的专家应当从事相关领域工作满8年并具有高级职称或者具有同等专业水平，不得少于成员总数的2/3。这是资格预审中对于专家资质的具体要求，以确保审查的专业性和公正性。选项判断：逐一分析各选项，A选项4年不符合要求；B选项5年不符合要求；C选项6年不符合要求；D选项8年符合规定。故本题选：D。</w:t>
      </w:r>
    </w:p>
    <w:p w14:paraId="64217E2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29.政府采购履约验收后，采购人向政府财政部门报送合同履行报告等资料，申请（  ）。</w:t>
      </w:r>
    </w:p>
    <w:p w14:paraId="401F4D4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A.审核</w:t>
      </w:r>
    </w:p>
    <w:p w14:paraId="72B3AB3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B.验收签字</w:t>
      </w:r>
    </w:p>
    <w:p w14:paraId="5BF9469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C.支付采购金额</w:t>
      </w:r>
    </w:p>
    <w:p w14:paraId="574B870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D.备案</w:t>
      </w:r>
    </w:p>
    <w:p w14:paraId="74E81B5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0DBBB45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答案解析：政府采购履约验收后，采购人向政府财政部门报送合同履行报告等资料，申请支付采购金额。</w:t>
      </w:r>
    </w:p>
    <w:p w14:paraId="39C7518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30.在以往通过ICB程序签订的合同基础上的追加订货，追加采购的货物单价应保持不变，时间间隔不超过18个月，数量不能超过原合同数量的（  ），可采取直接签订合同的采购方式。</w:t>
      </w:r>
    </w:p>
    <w:p w14:paraId="0D3D4B1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A.30%</w:t>
      </w:r>
    </w:p>
    <w:p w14:paraId="4C6D8BF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B.35%</w:t>
      </w:r>
    </w:p>
    <w:p w14:paraId="1EE26BB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C.45%</w:t>
      </w:r>
    </w:p>
    <w:p w14:paraId="235603E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D.60%</w:t>
      </w:r>
    </w:p>
    <w:p w14:paraId="63BCBD6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57E2677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题干内容，在以往通过ICB程序签订的合同基础上追加订货，有时间间隔和数量的限制，数量不能超过原合同数量的30%，且时间间隔不超过18个月，可采取直接签订合同的采购方式。选项判断：B选项35%、C选项45%、D选项60%均不符合题干要求，A选项30%正确。故本题选：A。</w:t>
      </w:r>
    </w:p>
    <w:p w14:paraId="69B4E19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31.在资格审查的评审程序中，初步审查的因素不包括（  ）。</w:t>
      </w:r>
    </w:p>
    <w:p w14:paraId="7A8C524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A.企业资质等级和生产许可</w:t>
      </w:r>
    </w:p>
    <w:p w14:paraId="09C0B6C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B.投标资格申请人名称</w:t>
      </w:r>
    </w:p>
    <w:p w14:paraId="4501955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C.申请函签字盖章</w:t>
      </w:r>
    </w:p>
    <w:p w14:paraId="78E40D2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D.申请文件格式</w:t>
      </w:r>
    </w:p>
    <w:p w14:paraId="62FA68C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34EE52F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格审查分为资格预审和资格后审。资格预审是指在投标前对潜在投标人进行的资格审查；资格后审是指在开标后对投标人进行的资格审查。无论是资格预审还是资格后审，都需要对投标人的资格进行审查，以确定其是否具备投标资格。资格审查的评审程序一般包括初步审查和详细审查两个阶段。初步审查的因素主要包括：投标资格申请人名称、申请函签字盖章、申请文件格式等。企业资质等级和生产许可等因素一般在详细审查阶段进行审查。选项判断：选项A企业资质等级和生产许可属于详细审查的因素，而不是初步审查的因素；选项B、C、D均属于初步审查的因素。故本题选：A。</w:t>
      </w:r>
    </w:p>
    <w:p w14:paraId="442F02C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32.货物招标采购中，在相同条件下，（  ）是决定中标的主要因素，但也并非价格越低越好，招标人更需要选择性价比高的产品。</w:t>
      </w:r>
    </w:p>
    <w:p w14:paraId="480CE3B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A.产品的价格</w:t>
      </w:r>
    </w:p>
    <w:p w14:paraId="1D47D4F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B.使用功能</w:t>
      </w:r>
    </w:p>
    <w:p w14:paraId="5D97F35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C.质量标准</w:t>
      </w:r>
    </w:p>
    <w:p w14:paraId="72F9303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D.技术工艺</w:t>
      </w:r>
    </w:p>
    <w:p w14:paraId="1B02A88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3D91A4F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在货物招标采购中，价格是决定中标的重要因素之一。一般情况下，在相同条件下，价格越低越有竞争力。但招标人也需要综合考虑其他因素，如产品的质量、使用功能、技术工艺等，选择性价比高的产品。因此，价格并非越低越好。</w:t>
      </w:r>
    </w:p>
    <w:p w14:paraId="42804F6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33.下列对资格审查的程序排列正确的是（  ）。①组建资格审查委员会；②出售资格预审文件；③编制资格预审文件；④资格预审文件的澄清、修改；⑤确定资格预审合格申请人。</w:t>
      </w:r>
    </w:p>
    <w:p w14:paraId="70B49BB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A.③②④①⑤</w:t>
      </w:r>
    </w:p>
    <w:p w14:paraId="39ADA63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B.①⑤③②④</w:t>
      </w:r>
    </w:p>
    <w:p w14:paraId="6AB59D3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C.①③②④⑤</w:t>
      </w:r>
    </w:p>
    <w:p w14:paraId="3820107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D.③①②④⑤</w:t>
      </w:r>
    </w:p>
    <w:p w14:paraId="466A02F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785E83E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答案解析：资格审查的程序为：编制资格预审文件；出售资格预审文件；资格预审文件的澄清、修改；组建资格审查委员会；确定资格预审合格申请人。</w:t>
      </w:r>
    </w:p>
    <w:p w14:paraId="114A5B3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34.土建工程招标文件的评审标准不包括的是（  ）。</w:t>
      </w:r>
    </w:p>
    <w:p w14:paraId="60E5042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A.技术评审标准</w:t>
      </w:r>
    </w:p>
    <w:p w14:paraId="04EB7DD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B.组合标的规定</w:t>
      </w:r>
    </w:p>
    <w:p w14:paraId="73A8165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C.关键设备的要求</w:t>
      </w:r>
    </w:p>
    <w:p w14:paraId="7E6EA51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D.备选方案的标准</w:t>
      </w:r>
    </w:p>
    <w:p w14:paraId="7830028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7DCB3EB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土建工程招标文件的评审标准通常包括技术评审标准、商务评审标准、经验与信誉评审标准等。其中，技术评审标准主要涉及施工方案、施工进度计划、质量保证措施等方面；商务评审标准主要涉及投标报价、付款方式、合同条款等方面；经验与信誉评审标准主要涉及投标人的资质、业绩、信誉等方面。</w:t>
      </w:r>
    </w:p>
    <w:p w14:paraId="02B5FC6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35.《政府采购货物和服务招标投标管理办法》规定，投标保证金数额不得超过采购项目概算的（  ）等。</w:t>
      </w:r>
    </w:p>
    <w:p w14:paraId="0F4D160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A.1%</w:t>
      </w:r>
    </w:p>
    <w:p w14:paraId="7A354EB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B.2%</w:t>
      </w:r>
    </w:p>
    <w:p w14:paraId="5844E40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C.5%</w:t>
      </w:r>
    </w:p>
    <w:p w14:paraId="18175AD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D.8%</w:t>
      </w:r>
    </w:p>
    <w:p w14:paraId="62CE502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4509A28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答案解析：《政府采购货物和服务招标投标管理办法》第三十三条明确规定，投标保证金数额不得超过采购项目预算金额的2%。而本题中说的是不得超过采购项目概算的1%，说法错误。</w:t>
      </w:r>
    </w:p>
    <w:p w14:paraId="057E0C0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36.企业生产物流的关键性特征是（  ）。</w:t>
      </w:r>
    </w:p>
    <w:p w14:paraId="7F8BEDF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A.连续性</w:t>
      </w:r>
    </w:p>
    <w:p w14:paraId="2183E20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B.公正性</w:t>
      </w:r>
    </w:p>
    <w:p w14:paraId="6580CCF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C.物料流转</w:t>
      </w:r>
    </w:p>
    <w:p w14:paraId="306ADD0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D.比例性</w:t>
      </w:r>
    </w:p>
    <w:p w14:paraId="302C2FC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26C5726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企业生产物流是指伴随企业内部生产过程的物流活动。它的关键性特征是物料流转，即原材料、零部件、在制品等物料在生产过程中的流动和转移。连续性、比例性等也是生产物流的特征，但不是关键性特征。公正性不属于生产物流的特征。</w:t>
      </w:r>
    </w:p>
    <w:p w14:paraId="47F35BA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37.国际竞争性招标方式下的投标文件准备时间不能少于（  ）。</w:t>
      </w:r>
    </w:p>
    <w:p w14:paraId="2EF6C35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A.4周</w:t>
      </w:r>
    </w:p>
    <w:p w14:paraId="4720C29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B.5周</w:t>
      </w:r>
    </w:p>
    <w:p w14:paraId="1CF6443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C.6周</w:t>
      </w:r>
    </w:p>
    <w:p w14:paraId="5752C19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D.7周</w:t>
      </w:r>
    </w:p>
    <w:p w14:paraId="295DE8D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6FEF63C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答案解析：根据《国际复兴开发银行贷款和国际开发协会信贷采购指南》规定，国际竞争性招标方式下的投标文件准备时间不能少于6周。</w:t>
      </w:r>
    </w:p>
    <w:p w14:paraId="2CA735B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38.工程招标资格预审文件中，工程建设项目概况的内容不包括（  ）。</w:t>
      </w:r>
    </w:p>
    <w:p w14:paraId="7E73F2D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A.项目说明</w:t>
      </w:r>
    </w:p>
    <w:p w14:paraId="2E13B07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B.拟投入设备状况</w:t>
      </w:r>
    </w:p>
    <w:p w14:paraId="10052EF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C.建设条件</w:t>
      </w:r>
    </w:p>
    <w:p w14:paraId="78FA0FC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D.建设要求</w:t>
      </w:r>
    </w:p>
    <w:p w14:paraId="7F59286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4B781DE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答案解析：工程建设项目概况的内容包括项目说明、建设条件、建设要求等，不包括拟投入设备状况。</w:t>
      </w:r>
    </w:p>
    <w:p w14:paraId="1212AB1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39.在下列选项中，不属于工程招标资格预审文件的是（  ）。</w:t>
      </w:r>
    </w:p>
    <w:p w14:paraId="2EE09E5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A.工程招标公告</w:t>
      </w:r>
    </w:p>
    <w:p w14:paraId="2A8B1FA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B.资格预审公告</w:t>
      </w:r>
    </w:p>
    <w:p w14:paraId="491F5A2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C.申请人须知</w:t>
      </w:r>
    </w:p>
    <w:p w14:paraId="71DE647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D.资格审查办法</w:t>
      </w:r>
    </w:p>
    <w:p w14:paraId="3476A18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48B4FCE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答案解析：工程招标资格预审文件包括资格预审公告、申请人须知、资格审查办法等，而工程招标公告是用于发布招标信息的文件，不属于资格预审文件。</w:t>
      </w:r>
    </w:p>
    <w:p w14:paraId="09E4163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40.在招标投标争议的解决中，依法负责审计监督的行政机关是（  ）。</w:t>
      </w:r>
    </w:p>
    <w:p w14:paraId="761D359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A.行政执法监督部门</w:t>
      </w:r>
    </w:p>
    <w:p w14:paraId="6E35A88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B.监察机关</w:t>
      </w:r>
    </w:p>
    <w:p w14:paraId="4C38815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C.审计机关</w:t>
      </w:r>
    </w:p>
    <w:p w14:paraId="6955139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D.纪律检查部门</w:t>
      </w:r>
    </w:p>
    <w:p w14:paraId="163A35E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420B8C0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答案解析：审计机关是依法负责审计监督的行政机关，在招标投标争议的解决中，审计机关可以对招标投标活动进行审计监督。</w:t>
      </w:r>
    </w:p>
    <w:p w14:paraId="49427BE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41.自2008年2月份以后，世界银行取消了对承诺费的征收，但仍保留按照贷款额（  ）的比例征收先征费。</w:t>
      </w:r>
    </w:p>
    <w:p w14:paraId="332A031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A.0.08%</w:t>
      </w:r>
    </w:p>
    <w:p w14:paraId="7D5294B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B.0.12%</w:t>
      </w:r>
    </w:p>
    <w:p w14:paraId="078C980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C.0.20%</w:t>
      </w:r>
    </w:p>
    <w:p w14:paraId="7D81A60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D.0.25%</w:t>
      </w:r>
    </w:p>
    <w:p w14:paraId="057A3E7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1F24574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答案解析：世界银行贷款的先征费比例为贷款额的0.25%。选项判断：A选项0.08%、B选项0.12%、C选项0.20%均不符合世界银行先征费的比例规定，只有D选项0.25%正确。故本题选：D。</w:t>
      </w:r>
    </w:p>
    <w:p w14:paraId="51A1E6C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42.政府采购项目的质疑答复应在收到质疑之日起（  ）工作日内作出。</w:t>
      </w:r>
    </w:p>
    <w:p w14:paraId="43C480E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A.3个</w:t>
      </w:r>
    </w:p>
    <w:p w14:paraId="740BB32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B.5个</w:t>
      </w:r>
    </w:p>
    <w:p w14:paraId="74D60B9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C.7个</w:t>
      </w:r>
    </w:p>
    <w:p w14:paraId="41E9C63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D.15个</w:t>
      </w:r>
    </w:p>
    <w:p w14:paraId="1F92318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1185806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根据《政府采购法》第五十三条规定，采购人应当在收到供应商的书面质疑后七个工作日内作出答复，并以书面形式通知质疑供应商和其他有关供应商，但答复的内容不得涉及商业秘密。选项判断：A选项3个工作日不符合法律规定；B选项5个工作日不符合法律规定；C选项7个工作日符合法律规定；D选项15个工作日不符合法律规定。故本题选：C。</w:t>
      </w:r>
    </w:p>
    <w:p w14:paraId="70DC581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43.适合交钥匙合同、大型复杂的设施采购、特殊性质的工程、复杂的信息和通信技术合同招标的程序为（  ）。</w:t>
      </w:r>
    </w:p>
    <w:p w14:paraId="0A92FD3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A.一阶段双信封招标程序</w:t>
      </w:r>
    </w:p>
    <w:p w14:paraId="7E7242D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B.二阶段单信封招标程序</w:t>
      </w:r>
    </w:p>
    <w:p w14:paraId="035DE05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C.二阶段招标程序</w:t>
      </w:r>
    </w:p>
    <w:p w14:paraId="1AC9BBF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D.二阶段双信封招标程序</w:t>
      </w:r>
    </w:p>
    <w:p w14:paraId="4494220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7CC0FD7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两阶段招标程序是将招标过程分为两个阶段进行，即第一阶段招标和第二阶段招标。第一阶段按公开招标方式进行招标，经过开标和评标确定中标人，签订合同，中标人凭中标通知书在规定时间内与招标人签订合同。第二阶段按邀请招标方式进行招标，经过开标和评标确定中标人，签订合同。二阶段招标程序适合交钥匙合同、大型复杂的设施采购、特殊性质的工程、复杂的信息和通信技术合同招标。</w:t>
      </w:r>
    </w:p>
    <w:p w14:paraId="7425256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44.评标过程-初步评审的重大偏差的内容中，招标文件技术条件的实质性不响应包括（  ）。</w:t>
      </w:r>
    </w:p>
    <w:p w14:paraId="1D19030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A.非授权人或法定代表人签署投标函和报价表</w:t>
      </w:r>
    </w:p>
    <w:p w14:paraId="0E5E455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B.未对招标文件要求的供货范围投标</w:t>
      </w:r>
    </w:p>
    <w:p w14:paraId="1EF0C4C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C.未按要求提供投标保证金</w:t>
      </w:r>
    </w:p>
    <w:p w14:paraId="4F04394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D.不满足投标有效期的期限</w:t>
      </w:r>
    </w:p>
    <w:p w14:paraId="3F38EF0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595DEFC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答案解析：重大偏差是指投标文件明显不符合招标文件的要求，这些偏差将导致投标文件被拒绝。招标文件技术条件的实质性不响应包括：</w:t>
      </w:r>
    </w:p>
    <w:p w14:paraId="1BB7212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1.未对招标文件要求的供货范围投标；</w:t>
      </w:r>
    </w:p>
    <w:p w14:paraId="24B0765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2.未按照招标文件要求的技术规格、标准和要求进行投标；</w:t>
      </w:r>
    </w:p>
    <w:p w14:paraId="391ACEF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3.未按照招标文件要求的交货期或工期进行投标；</w:t>
      </w:r>
    </w:p>
    <w:p w14:paraId="307E025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4.未按照招标文件要求的质量标准进行投标；</w:t>
      </w:r>
    </w:p>
    <w:p w14:paraId="72BBE98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5.未按照招标文件要求的投标保证金金额或形式进行投标；</w:t>
      </w:r>
    </w:p>
    <w:p w14:paraId="68E13AA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6.未按照招标文件要求的投标有效期进行投标；</w:t>
      </w:r>
    </w:p>
    <w:p w14:paraId="6918222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7.未按照招标文件要求的投标文件格式或内容进行投标；</w:t>
      </w:r>
    </w:p>
    <w:p w14:paraId="0302F09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8.未按照招标文件要求的其他实质性要求进行投标。</w:t>
      </w:r>
    </w:p>
    <w:p w14:paraId="621CF46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45.下列关于对招标师行使权利的行为规范的叙述，不正确的是（  ）。</w:t>
      </w:r>
    </w:p>
    <w:p w14:paraId="40CA244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A.招标师在招标采购活动中，如与投标人有隶属关系或其他利益关系，应予以回避</w:t>
      </w:r>
    </w:p>
    <w:p w14:paraId="3A64007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B.招标师可以承接同一项目的招标代理和招标咨询业务</w:t>
      </w:r>
    </w:p>
    <w:p w14:paraId="323A9A8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C.招标师不得承接同一项目的招标代理和招标咨询业务</w:t>
      </w:r>
    </w:p>
    <w:p w14:paraId="205BAAD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D.招标师不得违法限制或者排斥本地区、本系统以外的法人或者其他组织参加投标，不得以任何方式非法干涉招标投标活动</w:t>
      </w:r>
    </w:p>
    <w:p w14:paraId="1169F02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5DEAE4C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师在招标采购活动中应遵守相关规定。招标师如与投标人有隶属关系或其他利益关系，必须予以回避，A项正确。同时，招标师不得承接同一项目的招标代理和招标咨询业务，C项正确，B项错误。招标师也不得违法限制或者排斥本地区、本系统以外的法人或者其他组织参加投标，不得以任何方式非法干涉招标投标活动，D项正确。故本题选：B。</w:t>
      </w:r>
    </w:p>
    <w:p w14:paraId="5BD4A6A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46.下列货物、土建工程采购定标原则不正确的一项是（  ）。</w:t>
      </w:r>
    </w:p>
    <w:p w14:paraId="53EE63C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A.世界银行和亚洲开发银行并不强制性要求采购人聘用外部专家进行评标和定标</w:t>
      </w:r>
    </w:p>
    <w:p w14:paraId="0F8144D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B.只建议有3个人或以上组成的1个评审委员会进行评标即可</w:t>
      </w:r>
    </w:p>
    <w:p w14:paraId="75DEAB4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C.货物（含大型供货安装合同）和土建工程评标只采用“综合评估法”</w:t>
      </w:r>
    </w:p>
    <w:p w14:paraId="6594EC2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D.不允许同时推荐前3名评标价最低的投标人作为候选中标人的做法</w:t>
      </w:r>
    </w:p>
    <w:p w14:paraId="110A01D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687F709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世界银行和亚洲开发银行贷款项目国际招标，采购人可根据项目的具体情况和需要，自行决定是否聘用外部专家进行评标和定标，但建议采购人只聘用1个由3个人或以上组成的评审委员会进行评标。货物（含大型供货安装合同）和土建工程评标通常采用“综合评估法”和“经评审的最低投标价法”，不允许同时推荐前3名评标价最低的投标人作为候选中标人的做法。</w:t>
      </w:r>
    </w:p>
    <w:p w14:paraId="43C17FD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47.下列选项中，不属于世行贷款项目的主要采购方式的是（  ）。</w:t>
      </w:r>
    </w:p>
    <w:p w14:paraId="3F9FFF4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A.国际竞争性招标</w:t>
      </w:r>
    </w:p>
    <w:p w14:paraId="712B5FD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B.中间金融机构贷款的采购</w:t>
      </w:r>
    </w:p>
    <w:p w14:paraId="6920D05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C.有限国际招标</w:t>
      </w:r>
    </w:p>
    <w:p w14:paraId="427E7FA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D.询价采购</w:t>
      </w:r>
    </w:p>
    <w:p w14:paraId="3FD8B38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534A2D2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世行贷款项目的主要采购方式包括：国际竞争性招标、有限国际招标、国内竞争性招标、询价采购、直接签订合同和自营工程等。中间金融机构贷款的采购不属于世行贷款项目的主要采购方式。选项判断：A选项国际竞争性招标是世行贷款项目的主要采购方式之一；C选项有限国际招标也是世行贷款项目的主要采购方式之一；D选项询价采购同样是世行贷款项目的主要采购方式之一。而B选项中间金融机构贷款的采购不属于世行贷款项目的主要采购方式。故本题选：B。</w:t>
      </w:r>
    </w:p>
    <w:p w14:paraId="403EFD8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48.下列招标文件争议的主要内容中不包括的一项是（  ）。</w:t>
      </w:r>
    </w:p>
    <w:p w14:paraId="24BEAC8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A.招标文件以不合理的资格条件限制潜在投标人投标</w:t>
      </w:r>
    </w:p>
    <w:p w14:paraId="53F6004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B.招标文件出现专有技术、专利产品、特定品牌等倾向性内容</w:t>
      </w:r>
    </w:p>
    <w:p w14:paraId="7CDE303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C.评标办法不科学、不公平</w:t>
      </w:r>
    </w:p>
    <w:p w14:paraId="6E13D83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D.评标过程有争议</w:t>
      </w:r>
    </w:p>
    <w:p w14:paraId="3D908EB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780ADBD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文件争议的主要内容包括招标文件以不合理的资格条件限制潜在投标人投标、招标文件出现专有技术、专利产品、特定品牌等倾向性内容、评标办法不科学、不公平等。而评标过程有争议不属于招标文件争议的主要内容。选项判断：A选项招标文件以不合理的资格条件限制潜在投标人投标，属于招标文件争议内容；B选项招标文件出现专有技术等倾向性内容，属于招标文件争议内容；C选项评标办法不科学不公平，属于招标文件争议内容；D选项评标过程有争议不属于招标文件争议内容。故本题选：D。</w:t>
      </w:r>
    </w:p>
    <w:p w14:paraId="4B14D38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49.工程量清单中，下列不属于其他项目清单所包括的内容是（  ）。</w:t>
      </w:r>
    </w:p>
    <w:p w14:paraId="3263A1A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A.暂列金额</w:t>
      </w:r>
    </w:p>
    <w:p w14:paraId="19446D3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B.暂估价</w:t>
      </w:r>
    </w:p>
    <w:p w14:paraId="7F7F5AF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C.预付款</w:t>
      </w:r>
    </w:p>
    <w:p w14:paraId="38D5FB5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D.总承包服务费</w:t>
      </w:r>
    </w:p>
    <w:p w14:paraId="51427E8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0E45A6C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其他项目清单是指分部分项工程量清单、措施项目清单所包含的内容以外，因招标人的特殊要求而发生的与拟建工程有关的其他费用项目和相应数量的清单。其他项目清单包括暂列金额、暂估价、计日工、总承包服务费。预付款不属于其他项目清单所包括的内容。选项判断：A选项暂列金额属于其他项目清单内容；B选项暂估价属于其他项目清单内容；C选项预付款不属于其他项目清单内容；D选项总承包服务费属于其他项目清单内容。故本题选：C。</w:t>
      </w:r>
    </w:p>
    <w:p w14:paraId="7FDC54E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50.依法必须招标的工程建设项目的（  ）应报项目审批部门核准或招标投标监督部门备案。</w:t>
      </w:r>
    </w:p>
    <w:p w14:paraId="40E9AB4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A.招标方式、招标范围和招标工作目标</w:t>
      </w:r>
    </w:p>
    <w:p w14:paraId="3240344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B.招标范围、招标组织形式和招标工作目标</w:t>
      </w:r>
    </w:p>
    <w:p w14:paraId="4E4C344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C.招标范围、招标方式和招标组织形式</w:t>
      </w:r>
    </w:p>
    <w:p w14:paraId="6C7D3DF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D.招标工作任务、招标范围和招标组织形式</w:t>
      </w:r>
    </w:p>
    <w:p w14:paraId="58A8170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76EA281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依法必须招标的工程建设项目，其招标范围、招标方式和招标组织形式应报项目审批部门核准或招标投标监督部门备案。这是为了确保招标活动的合法性、公正性和透明度，保护国家利益、社会公共利益和招标投标活动当事人的合法权益。</w:t>
      </w:r>
    </w:p>
    <w:p w14:paraId="48D9FB1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51.采购人全部或部分使用财政性资金进行采购的，属于政府采购的管理范围，其财政性资金不包括（  ）。</w:t>
      </w:r>
    </w:p>
    <w:p w14:paraId="215C896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A.预算资金</w:t>
      </w:r>
    </w:p>
    <w:p w14:paraId="7C2786F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B.预算外资金</w:t>
      </w:r>
    </w:p>
    <w:p w14:paraId="3A47850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C.政府性基金</w:t>
      </w:r>
    </w:p>
    <w:p w14:paraId="5D227D8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D.国家债券</w:t>
      </w:r>
    </w:p>
    <w:p w14:paraId="6E915D8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参考答案：D</w:t>
      </w:r>
    </w:p>
    <w:p w14:paraId="1932B88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答案解析：政府采购的财政性资金包括预算资金、预算外资金和政府性基金。国家债券不属于财政性资金。</w:t>
      </w:r>
    </w:p>
    <w:p w14:paraId="79D5267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52.下列不属于招标师职业义务的是（  ）。</w:t>
      </w:r>
    </w:p>
    <w:p w14:paraId="67D8158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A.遵纪守法</w:t>
      </w:r>
    </w:p>
    <w:p w14:paraId="58813FC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B.接受后续教育</w:t>
      </w:r>
    </w:p>
    <w:p w14:paraId="75C550D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C.维护招标投标秩序</w:t>
      </w:r>
    </w:p>
    <w:p w14:paraId="5440B43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D.接受行业监管和自律现管</w:t>
      </w:r>
    </w:p>
    <w:p w14:paraId="4930C5D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671CFAA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答案解析：招标师的职业义务包括：遵纪守法、接受后续教育、接受行业监管和自律管理。维护招标投标秩序是招标师的职业权利，而不是义务。</w:t>
      </w:r>
    </w:p>
    <w:p w14:paraId="0898351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53.工程项目施工招标资格预审中，要求资格预审申请人提供已经承接正在施工项目的工作量是为了考察资格预审申请人（  ）。</w:t>
      </w:r>
    </w:p>
    <w:p w14:paraId="6B3775D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A.施工管理经验</w:t>
      </w:r>
    </w:p>
    <w:p w14:paraId="1568E89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B.可以调动的剩余施工资源和能力</w:t>
      </w:r>
    </w:p>
    <w:p w14:paraId="350404A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C.信誉状况</w:t>
      </w:r>
    </w:p>
    <w:p w14:paraId="65878CC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D.类似项目的施工能力</w:t>
      </w:r>
    </w:p>
    <w:p w14:paraId="4212CD7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1DD3015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工程项目施工招标资格预审中，要求资格预审申请人提供已经承接正在施工项目的工作量，主要是为了考察其可以调动的剩余施工资源和能力。通过了解其正在进行的项目工作量，可以推断出其在资源分配、人员调配等方面的能力，以及是否有足够的能力承担新的工程项目。而施工管理经验、信誉状况和类似项目的施工能力虽然也很重要，但通过其他方面的资料和考察也可以获得。</w:t>
      </w:r>
    </w:p>
    <w:p w14:paraId="1630A10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54.《工程建设项目勘察设计招标投标办法》规定，招标人与中标人签订合同后5个工作日内，应当向（  ）退还投标保证金等。</w:t>
      </w:r>
    </w:p>
    <w:p w14:paraId="1DBBEAC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A.未中标人一次性</w:t>
      </w:r>
    </w:p>
    <w:p w14:paraId="0CFE381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B.中标人一次性</w:t>
      </w:r>
    </w:p>
    <w:p w14:paraId="4676AD8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C.未中标人和中标人一次性</w:t>
      </w:r>
    </w:p>
    <w:p w14:paraId="5308D9C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D.未中标人或中标人一次性</w:t>
      </w:r>
    </w:p>
    <w:p w14:paraId="4CEED53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5973B1D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工程建设项目勘察设计招标投标办法》规定，招标人与中标人签订合同后5个工作日内，应当向未中标人和中标人一次性退还投标保证金等。该办法旨在规范工程建设项目勘察设计招标投标活动，保护国家利益、社会公共利益和招标投标活动当事人的合法权益。</w:t>
      </w:r>
    </w:p>
    <w:p w14:paraId="295E918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55.招标人规定投标文件递交地点时，比较适当的是（  ）。</w:t>
      </w:r>
    </w:p>
    <w:p w14:paraId="416894B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A.在行业主管部门指定的任何地点</w:t>
      </w:r>
    </w:p>
    <w:p w14:paraId="799BED7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B.与招标文件发售地点一致</w:t>
      </w:r>
    </w:p>
    <w:p w14:paraId="3231795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C.与招标文件规定的开标地点一致</w:t>
      </w:r>
    </w:p>
    <w:p w14:paraId="158E775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D.考虑开标时间前递交投标文件地点可能改变的要求</w:t>
      </w:r>
    </w:p>
    <w:p w14:paraId="73EFF49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参考答案：C</w:t>
      </w:r>
    </w:p>
    <w:p w14:paraId="103E4D9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w:t>
      </w:r>
    </w:p>
    <w:p w14:paraId="6A9D60C5">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招标人规定投标文件递交地点时，应与招标文件规定的开标地点一致。这样可以确保投标文件在开标前能够安全、及时地送达指定地点，便于开标工作的顺利进行。</w:t>
      </w:r>
    </w:p>
    <w:p w14:paraId="5E04939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56.在投标文件格式中，（  ）既是投标文件重要技术文件，又是编制投标报价的基础。</w:t>
      </w:r>
    </w:p>
    <w:p w14:paraId="77E9648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A.投标函及其附录</w:t>
      </w:r>
    </w:p>
    <w:p w14:paraId="63DE79D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B.技术、服务和管理方案</w:t>
      </w:r>
    </w:p>
    <w:p w14:paraId="4EE9667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C.投标报价文件</w:t>
      </w:r>
    </w:p>
    <w:p w14:paraId="426CD0A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D.联合体协议书</w:t>
      </w:r>
    </w:p>
    <w:p w14:paraId="1112DF2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75F38EE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技术、服务和管理方案：工程施工组织设计、供货组织方案及技术建议书通称为技术、服务和管理方案，既是投标文件重要技术文件，又是编制投标报价的基础，同时，是反映投标企业技术和管理水平的重要标志。</w:t>
      </w:r>
    </w:p>
    <w:p w14:paraId="250E8AB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57.下列选项中，属于国际开发协会资金来源的是（  ）。</w:t>
      </w:r>
    </w:p>
    <w:p w14:paraId="67E7F120">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A.多年积累的储备金</w:t>
      </w:r>
    </w:p>
    <w:p w14:paraId="2F596E0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B.以往贷款本金的回收</w:t>
      </w:r>
    </w:p>
    <w:p w14:paraId="78F0F37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C.各成员国认缴的股本金</w:t>
      </w:r>
    </w:p>
    <w:p w14:paraId="1D6F80E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D.发达国家的捐赠</w:t>
      </w:r>
    </w:p>
    <w:p w14:paraId="5EDF230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1F28F38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资金来源：（1）国际复兴开发银行的资金来源。国际复兴开发银行的资金主要来源于：多年积累的储备金；发达国家的捐赠；各成员国认缴的股本金；在资本市场上出售AAA级债券筹集。（2）国际开发协会的资金来源。国际开发协会的资金主要来源于：以往贷款本金的回收；国际复兴开发银行的转移支付；40个成员国的捐赠。</w:t>
      </w:r>
    </w:p>
    <w:p w14:paraId="37AE2E97">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58.下列不属于货物采购的需求目标的是（  ）。</w:t>
      </w:r>
    </w:p>
    <w:p w14:paraId="5D2F65BB">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A.服务需求</w:t>
      </w:r>
    </w:p>
    <w:p w14:paraId="78906B72">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B.耐用性需求</w:t>
      </w:r>
    </w:p>
    <w:p w14:paraId="636CE674">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C.价格需求</w:t>
      </w:r>
    </w:p>
    <w:p w14:paraId="012B766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D.供货进度需求</w:t>
      </w:r>
    </w:p>
    <w:p w14:paraId="5954EF6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357F471A">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货物采购的需求目标主要包括服务需求、价格需求、供货进度需求等。耐用性需求通常是针对货物本身的质量特性而言，不属于采购的需求目标范畴。选项判断：A选项服务需求是采购中对供应商提供相关服务的要求，属于需求目标；C选项价格需求是采购方对货物价格的期望和要求，属于需求目标；D选项供货进度需求是对货物供应时间的规定，属于需求目标。而B选项耐用性需求主要涉及货物的质量属性，不是采购的直接需求目标。故本题选：B。</w:t>
      </w:r>
    </w:p>
    <w:p w14:paraId="4B97CEE6">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59.采购按照采购的主体划分，其类型不包括（  ）采购。</w:t>
      </w:r>
    </w:p>
    <w:p w14:paraId="44ACEDE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A.公共</w:t>
      </w:r>
    </w:p>
    <w:p w14:paraId="018FEC3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B.工程</w:t>
      </w:r>
    </w:p>
    <w:p w14:paraId="7A534A7F">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C.企业</w:t>
      </w:r>
    </w:p>
    <w:p w14:paraId="000A3A2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D.个人</w:t>
      </w:r>
    </w:p>
    <w:p w14:paraId="6BAF5EDC">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参考答案：B</w:t>
      </w:r>
    </w:p>
    <w:p w14:paraId="43FD7543">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答案解析：采购按照采购的主体划分，可分为公共采购、企业采购和个人采购。工程采购是按照采购标的物的属性进行划分的类型。</w:t>
      </w:r>
    </w:p>
    <w:p w14:paraId="26CB330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60.根据我国《招标投标法》的规定，依法必须进行招标的项目，自招标文件开始发出之日起至投标人提交投标文件截止之日止，最短不得少于（  ）日。</w:t>
      </w:r>
    </w:p>
    <w:p w14:paraId="7629A74D">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A.20</w:t>
      </w:r>
    </w:p>
    <w:p w14:paraId="1210820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B.25</w:t>
      </w:r>
    </w:p>
    <w:p w14:paraId="3A17A0FE">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C.30</w:t>
      </w:r>
    </w:p>
    <w:p w14:paraId="2AC9BE89">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D.45</w:t>
      </w:r>
    </w:p>
    <w:p w14:paraId="3A38C081">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参考答案：A</w:t>
      </w:r>
    </w:p>
    <w:p w14:paraId="6578D438">
      <w:pPr>
        <w:bidi w:val="0"/>
        <w:spacing w:line="240" w:lineRule="auto"/>
        <w:ind w:leftChars="0"/>
        <w:jc w:val="both"/>
        <w:rPr>
          <w:rFonts w:hint="eastAsia" w:ascii="思源黑体 CN Light" w:hAnsi="思源黑体 CN Light" w:eastAsia="思源黑体 CN Light" w:cs="思源黑体 CN Light"/>
          <w:sz w:val="21"/>
          <w:szCs w:val="21"/>
        </w:rPr>
      </w:pPr>
      <w:r>
        <w:rPr>
          <w:rFonts w:hint="eastAsia" w:ascii="思源黑体 CN Light" w:hAnsi="思源黑体 CN Light" w:eastAsia="思源黑体 CN Light" w:cs="思源黑体 CN Light"/>
          <w:sz w:val="21"/>
          <w:szCs w:val="21"/>
        </w:rPr>
        <w:t>答案解析：《招标投标法》第二十四条规定：招标人应当确定投标人编制投标文件所需要的合理时间；但是，依法必须进行招标的项目，自招标文件开始发出之日起至投标人提交投标文件截止之日止，最短不得少于二十日。</w:t>
      </w:r>
    </w:p>
    <w:p w14:paraId="6687BD34">
      <w:pPr>
        <w:bidi w:val="0"/>
        <w:spacing w:line="240" w:lineRule="auto"/>
        <w:ind w:leftChars="0"/>
        <w:jc w:val="both"/>
        <w:rPr>
          <w:rFonts w:hint="eastAsia" w:ascii="思源黑体 CN Light" w:hAnsi="思源黑体 CN Light" w:eastAsia="思源黑体 CN Light" w:cs="思源黑体 CN Light"/>
          <w:sz w:val="21"/>
          <w:szCs w:val="21"/>
        </w:rPr>
      </w:pPr>
    </w:p>
    <w:p w14:paraId="7D4CAFC6">
      <w:pPr>
        <w:bidi w:val="0"/>
        <w:spacing w:line="240" w:lineRule="auto"/>
        <w:ind w:leftChars="0"/>
        <w:jc w:val="both"/>
        <w:rPr>
          <w:rFonts w:hint="eastAsia" w:ascii="思源黑体 CN Bold" w:hAnsi="思源黑体 CN Bold" w:eastAsia="思源黑体 CN Bold" w:cs="思源黑体 CN Bold"/>
          <w:sz w:val="21"/>
          <w:szCs w:val="21"/>
          <w:highlight w:val="yellow"/>
        </w:rPr>
      </w:pPr>
      <w:r>
        <w:rPr>
          <w:rFonts w:hint="eastAsia" w:ascii="思源黑体 CN Bold" w:hAnsi="思源黑体 CN Bold" w:eastAsia="思源黑体 CN Bold" w:cs="思源黑体 CN Bold"/>
          <w:sz w:val="21"/>
          <w:szCs w:val="21"/>
          <w:highlight w:val="yellow"/>
        </w:rPr>
        <w:t>招标采购从业人员初级、中级考试更多试题资源，在</w:t>
      </w:r>
      <w:r>
        <w:rPr>
          <w:rFonts w:hint="eastAsia" w:ascii="思源黑体 CN Bold" w:hAnsi="思源黑体 CN Bold" w:eastAsia="思源黑体 CN Bold" w:cs="思源黑体 CN Bold"/>
          <w:color w:val="FF0000"/>
          <w:sz w:val="21"/>
          <w:szCs w:val="21"/>
          <w:highlight w:val="yellow"/>
        </w:rPr>
        <w:t>【优题宝】app</w:t>
      </w:r>
      <w:r>
        <w:rPr>
          <w:rFonts w:hint="eastAsia" w:ascii="思源黑体 CN Bold" w:hAnsi="思源黑体 CN Bold" w:eastAsia="思源黑体 CN Bold" w:cs="思源黑体 CN Bold"/>
          <w:sz w:val="21"/>
          <w:szCs w:val="21"/>
          <w:highlight w:val="yellow"/>
        </w:rPr>
        <w:t>或</w:t>
      </w:r>
      <w:r>
        <w:rPr>
          <w:rFonts w:hint="eastAsia" w:ascii="思源黑体 CN Bold" w:hAnsi="思源黑体 CN Bold" w:eastAsia="思源黑体 CN Bold" w:cs="思源黑体 CN Bold"/>
          <w:color w:val="FF0000"/>
          <w:sz w:val="21"/>
          <w:szCs w:val="21"/>
          <w:highlight w:val="yellow"/>
        </w:rPr>
        <w:t>小程序</w:t>
      </w:r>
      <w:r>
        <w:rPr>
          <w:rFonts w:hint="eastAsia" w:ascii="思源黑体 CN Bold" w:hAnsi="思源黑体 CN Bold" w:eastAsia="思源黑体 CN Bold" w:cs="思源黑体 CN Bold"/>
          <w:sz w:val="21"/>
          <w:szCs w:val="21"/>
          <w:highlight w:val="yellow"/>
        </w:rPr>
        <w:t>获取，每日一练、每周一测免费练习，题库支持考点刷题、题型专练、模拟试卷等多模式刷题！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思源黑体 CN Light">
    <w:panose1 w:val="020B0300000000000000"/>
    <w:charset w:val="86"/>
    <w:family w:val="auto"/>
    <w:pitch w:val="default"/>
    <w:sig w:usb0="20000003" w:usb1="2ADF3C10" w:usb2="00000016" w:usb3="00000000" w:csb0="60060107" w:csb1="00000000"/>
  </w:font>
  <w:font w:name="思源黑体 CN Heavy">
    <w:panose1 w:val="020B0A00000000000000"/>
    <w:charset w:val="86"/>
    <w:family w:val="auto"/>
    <w:pitch w:val="default"/>
    <w:sig w:usb0="20000003" w:usb1="2ADF3C10" w:usb2="00000016" w:usb3="00000000" w:csb0="60060107" w:csb1="00000000"/>
  </w:font>
  <w:font w:name="思源黑体 CN Medium">
    <w:panose1 w:val="020B0600000000000000"/>
    <w:charset w:val="86"/>
    <w:family w:val="auto"/>
    <w:pitch w:val="default"/>
    <w:sig w:usb0="20000003" w:usb1="2ADF3C10" w:usb2="00000016" w:usb3="00000000" w:csb0="60060107" w:csb1="00000000"/>
  </w:font>
  <w:font w:name="思源黑体 CN Bold">
    <w:panose1 w:val="020B0800000000000000"/>
    <w:charset w:val="86"/>
    <w:family w:val="auto"/>
    <w:pitch w:val="default"/>
    <w:sig w:usb0="20000003" w:usb1="2ADF3C10" w:usb2="00000016" w:usb3="00000000" w:csb0="600601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00CE0"/>
    <w:rsid w:val="10C61FA7"/>
    <w:rsid w:val="15092D21"/>
    <w:rsid w:val="447D306A"/>
    <w:rsid w:val="79FF0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30</Pages>
  <Words>5392</Words>
  <Characters>5597</Characters>
  <Lines>0</Lines>
  <Paragraphs>0</Paragraphs>
  <TotalTime>15</TotalTime>
  <ScaleCrop>false</ScaleCrop>
  <LinksUpToDate>false</LinksUpToDate>
  <CharactersWithSpaces>5643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2026-06-04T10:00:00Z</dcterms:created>
  <dc:creator>MyPC</dc:creator>
  <cp:lastModifiedBy>许五木</cp:lastModifiedBy>
  <dcterms:modified xsi:type="dcterms:W3CDTF">2026-06-05T06:25:46Z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eyJoZGlkIjoiNGVmMzBjMzk2M2I4NGNhNzBjZWRjZTQ1ZTM1ZTNjYmUiLCJ1c2VySWQiOiI1ODI0NjIzMjMifQ==</vt:lpwstr>
  </property>
  <property fmtid="{D5CDD505-2E9C-101B-9397-08002B2CF9AE}" pid="4" name="ICV">
    <vt:lpwstr>A2CB809594064F759A063D0A157349B1_13</vt:lpwstr>
  </property>
</Properties>
</file>