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19990">
      <w:pPr>
        <w:widowControl w:val="0"/>
        <w:numPr>
          <w:ilvl w:val="0"/>
          <w:numId w:val="0"/>
        </w:numPr>
        <w:jc w:val="center"/>
        <w:rPr>
          <w:rFonts w:hint="default"/>
          <w:lang w:val="en-US" w:eastAsia="zh-CN"/>
        </w:rPr>
      </w:pPr>
      <w:r>
        <w:rPr>
          <w:rFonts w:hint="default"/>
          <w:b/>
          <w:bCs/>
          <w:lang w:val="en-US" w:eastAsia="zh-CN"/>
        </w:rPr>
        <w:t>绿色浪潮下，</w:t>
      </w:r>
      <w:r>
        <w:rPr>
          <w:rFonts w:hint="eastAsia"/>
          <w:b/>
          <w:bCs/>
          <w:lang w:val="en-US" w:eastAsia="zh-CN"/>
        </w:rPr>
        <w:t>国内</w:t>
      </w:r>
      <w:r>
        <w:rPr>
          <w:rFonts w:hint="default"/>
          <w:b/>
          <w:bCs/>
          <w:lang w:val="en-US" w:eastAsia="zh-CN"/>
        </w:rPr>
        <w:t>原料药前沿技术突围与合成生物学的崛起</w:t>
      </w:r>
    </w:p>
    <w:p w14:paraId="1116FD9F">
      <w:pPr>
        <w:widowControl w:val="0"/>
        <w:numPr>
          <w:ilvl w:val="0"/>
          <w:numId w:val="0"/>
        </w:numPr>
        <w:ind w:leftChars="0"/>
        <w:jc w:val="both"/>
        <w:rPr>
          <w:rFonts w:hint="eastAsia"/>
          <w:b/>
          <w:bCs/>
          <w:lang w:val="en-US" w:eastAsia="zh-CN"/>
        </w:rPr>
      </w:pPr>
    </w:p>
    <w:p w14:paraId="185B016C">
      <w:pPr>
        <w:widowControl w:val="0"/>
        <w:numPr>
          <w:ilvl w:val="0"/>
          <w:numId w:val="0"/>
        </w:numPr>
        <w:ind w:leftChars="0"/>
        <w:jc w:val="both"/>
        <w:rPr>
          <w:rFonts w:hint="eastAsia"/>
          <w:b w:val="0"/>
          <w:bCs w:val="0"/>
          <w:lang w:val="en-US" w:eastAsia="zh-CN"/>
        </w:rPr>
      </w:pPr>
      <w:r>
        <w:rPr>
          <w:rFonts w:hint="eastAsia"/>
          <w:b w:val="0"/>
          <w:bCs w:val="0"/>
          <w:lang w:val="en-US" w:eastAsia="zh-CN"/>
        </w:rPr>
        <w:t>随着环境保护意识的日益增强，原料药生产行业的环境污染问题逐渐凸显。为应对这一挑战，国家层面出台了一系列政策意见，旨在引导原料药行业向绿色转型发展，构建具有国际竞争优势的新发展格局。在这一转型过程中，合成生物学以其独特的优势，成为推动原料药产业高质量发展的重要技术力量。</w:t>
      </w:r>
    </w:p>
    <w:p w14:paraId="0F9E1C76">
      <w:pPr>
        <w:widowControl w:val="0"/>
        <w:numPr>
          <w:ilvl w:val="0"/>
          <w:numId w:val="0"/>
        </w:numPr>
        <w:ind w:leftChars="0"/>
        <w:jc w:val="both"/>
        <w:rPr>
          <w:rFonts w:hint="eastAsia"/>
          <w:b w:val="0"/>
          <w:bCs w:val="0"/>
          <w:lang w:val="en-US" w:eastAsia="zh-CN"/>
        </w:rPr>
      </w:pPr>
    </w:p>
    <w:p w14:paraId="4CC3EBF5">
      <w:pPr>
        <w:widowControl w:val="0"/>
        <w:numPr>
          <w:ilvl w:val="0"/>
          <w:numId w:val="0"/>
        </w:numPr>
        <w:ind w:leftChars="0"/>
        <w:jc w:val="both"/>
        <w:rPr>
          <w:rFonts w:hint="eastAsia"/>
          <w:b w:val="0"/>
          <w:bCs w:val="0"/>
          <w:lang w:val="en-US" w:eastAsia="zh-CN"/>
        </w:rPr>
      </w:pPr>
      <w:r>
        <w:rPr>
          <w:rFonts w:hint="eastAsia"/>
          <w:b w:val="0"/>
          <w:bCs w:val="0"/>
          <w:lang w:val="en-US" w:eastAsia="zh-CN"/>
        </w:rPr>
        <w:t>本文基于药融咨询《原料药产业白皮书》部分内容，将深入分析原料药产业在绿色转型过程中的政策引导、技术创新以及主流前沿技术的布局情况，以及合成生物学的兴起发展是如何成为推动原料药产业升级的关键力量。</w:t>
      </w:r>
    </w:p>
    <w:p w14:paraId="07B3D47F">
      <w:pPr>
        <w:widowControl w:val="0"/>
        <w:numPr>
          <w:ilvl w:val="0"/>
          <w:numId w:val="0"/>
        </w:numPr>
        <w:ind w:leftChars="0"/>
        <w:jc w:val="both"/>
        <w:rPr>
          <w:rFonts w:hint="eastAsia"/>
          <w:b w:val="0"/>
          <w:bCs w:val="0"/>
          <w:lang w:val="en-US" w:eastAsia="zh-CN"/>
        </w:rPr>
      </w:pPr>
    </w:p>
    <w:p w14:paraId="4E6463D6">
      <w:pPr>
        <w:widowControl w:val="0"/>
        <w:numPr>
          <w:ilvl w:val="0"/>
          <w:numId w:val="0"/>
        </w:numPr>
        <w:ind w:leftChars="0"/>
        <w:jc w:val="both"/>
        <w:rPr>
          <w:rFonts w:hint="eastAsia"/>
          <w:b/>
          <w:bCs/>
          <w:lang w:val="en-US" w:eastAsia="zh-CN"/>
        </w:rPr>
      </w:pPr>
      <w:r>
        <w:rPr>
          <w:rFonts w:hint="eastAsia"/>
          <w:b/>
          <w:bCs/>
          <w:lang w:val="en-US" w:eastAsia="zh-CN"/>
        </w:rPr>
        <w:t>一、绿色转型：政策引导下的必然路径</w:t>
      </w:r>
      <w:bookmarkStart w:id="0" w:name="_GoBack"/>
      <w:bookmarkEnd w:id="0"/>
    </w:p>
    <w:p w14:paraId="29D3F2FF">
      <w:pPr>
        <w:widowControl w:val="0"/>
        <w:numPr>
          <w:ilvl w:val="0"/>
          <w:numId w:val="0"/>
        </w:numPr>
        <w:ind w:leftChars="0"/>
        <w:jc w:val="both"/>
        <w:rPr>
          <w:rFonts w:hint="eastAsia"/>
          <w:b/>
          <w:bCs/>
          <w:lang w:val="en-US" w:eastAsia="zh-CN"/>
        </w:rPr>
      </w:pPr>
    </w:p>
    <w:p w14:paraId="2C4174D4">
      <w:pPr>
        <w:widowControl w:val="0"/>
        <w:numPr>
          <w:ilvl w:val="0"/>
          <w:numId w:val="0"/>
        </w:numPr>
        <w:ind w:leftChars="0"/>
        <w:jc w:val="both"/>
        <w:rPr>
          <w:rFonts w:hint="eastAsia"/>
          <w:b w:val="0"/>
          <w:bCs w:val="0"/>
          <w:lang w:val="en-US" w:eastAsia="zh-CN"/>
        </w:rPr>
      </w:pPr>
      <w:r>
        <w:rPr>
          <w:rFonts w:hint="eastAsia"/>
          <w:b w:val="0"/>
          <w:bCs w:val="0"/>
          <w:lang w:val="en-US" w:eastAsia="zh-CN"/>
        </w:rPr>
        <w:t>化学原料药属于重污染行业，原料药及中间体生产过程包含大量化学物质， “三废”排放量较大。为有效缓解原料药生产企业环境污染问题，行政主管部门不断出台政策意见采取一系列措施引导原料药行业绿色转型发展，构建具有国际竞争优势的原料药产业新发展格局。</w:t>
      </w:r>
    </w:p>
    <w:p w14:paraId="1CF020D7">
      <w:pPr>
        <w:widowControl w:val="0"/>
        <w:numPr>
          <w:ilvl w:val="0"/>
          <w:numId w:val="0"/>
        </w:numPr>
        <w:ind w:leftChars="0"/>
        <w:jc w:val="both"/>
        <w:rPr>
          <w:rFonts w:hint="eastAsia"/>
          <w:b w:val="0"/>
          <w:bCs w:val="0"/>
          <w:lang w:val="en-US" w:eastAsia="zh-CN"/>
        </w:rPr>
      </w:pPr>
    </w:p>
    <w:p w14:paraId="1C30EA31">
      <w:pPr>
        <w:widowControl w:val="0"/>
        <w:numPr>
          <w:ilvl w:val="0"/>
          <w:numId w:val="0"/>
        </w:numPr>
        <w:ind w:leftChars="0"/>
        <w:jc w:val="both"/>
        <w:rPr>
          <w:rFonts w:hint="eastAsia"/>
          <w:b w:val="0"/>
          <w:bCs w:val="0"/>
          <w:lang w:val="en-US" w:eastAsia="zh-CN"/>
        </w:rPr>
      </w:pPr>
      <w:r>
        <w:rPr>
          <w:rFonts w:hint="eastAsia"/>
          <w:b w:val="0"/>
          <w:bCs w:val="0"/>
          <w:lang w:val="en-US" w:eastAsia="zh-CN"/>
        </w:rPr>
        <w:t>传统原料药制造已经不能满足企业生产经营需求，高质量发展阶段原料药竞争已逐渐从成本竞争向“绿色”竞争转变。面对竞争新态势，指导原料药产业绿色发展、推进化学原料药生产工艺技术改造，是原料药产业升级的必由之路，生物酶催化合成和连续流动技术应用是工艺技术创新的重要发展方向。</w:t>
      </w:r>
    </w:p>
    <w:p w14:paraId="510A9783">
      <w:pPr>
        <w:widowControl w:val="0"/>
        <w:numPr>
          <w:ilvl w:val="0"/>
          <w:numId w:val="0"/>
        </w:numPr>
        <w:ind w:leftChars="0"/>
        <w:jc w:val="both"/>
        <w:rPr>
          <w:rFonts w:hint="eastAsia"/>
          <w:b/>
          <w:bCs/>
          <w:lang w:val="en-US" w:eastAsia="zh-CN"/>
        </w:rPr>
      </w:pPr>
    </w:p>
    <w:p w14:paraId="213D03E9">
      <w:pPr>
        <w:widowControl w:val="0"/>
        <w:numPr>
          <w:ilvl w:val="0"/>
          <w:numId w:val="0"/>
        </w:numPr>
        <w:ind w:leftChars="0"/>
        <w:jc w:val="both"/>
        <w:rPr>
          <w:rFonts w:hint="eastAsia"/>
          <w:b/>
          <w:bCs/>
          <w:lang w:val="en-US" w:eastAsia="zh-CN"/>
        </w:rPr>
      </w:pPr>
      <w:r>
        <w:rPr>
          <w:rFonts w:hint="eastAsia"/>
          <w:b/>
          <w:bCs/>
          <w:lang w:val="en-US" w:eastAsia="zh-CN"/>
        </w:rPr>
        <w:t>关于印发《推动原料药产业绿色发展的指导意见》的通知</w:t>
      </w:r>
    </w:p>
    <w:p w14:paraId="59918F26">
      <w:pPr>
        <w:widowControl w:val="0"/>
        <w:numPr>
          <w:ilvl w:val="0"/>
          <w:numId w:val="0"/>
        </w:numPr>
        <w:ind w:leftChars="0"/>
        <w:jc w:val="both"/>
        <w:rPr>
          <w:rFonts w:hint="eastAsia"/>
          <w:b w:val="0"/>
          <w:bCs w:val="0"/>
          <w:lang w:val="en-US" w:eastAsia="zh-CN"/>
        </w:rPr>
      </w:pPr>
      <w:r>
        <w:rPr>
          <w:rFonts w:hint="eastAsia"/>
          <w:b w:val="0"/>
          <w:bCs w:val="0"/>
          <w:lang w:val="en-US" w:eastAsia="zh-CN"/>
        </w:rPr>
        <w:t>加快技术创新与应用。强化企业技术创新主体地位，健全产学研用协同创新体系，集聚创新技术人才，激发创新主体活力，增强原始创新和集成创新能力。聚焦产业绿色发展需求，加快推进绿色技术攻关和产业化应用，推广高效提取纯化、绿色酶法合成、微通道反应等绿色工艺，突破一批关键核心绿色技术，培育一批高质量创新型企业，打造一批创新平台、战略联盟、示范基地。</w:t>
      </w:r>
    </w:p>
    <w:p w14:paraId="01506F5C">
      <w:pPr>
        <w:widowControl w:val="0"/>
        <w:numPr>
          <w:ilvl w:val="0"/>
          <w:numId w:val="0"/>
        </w:numPr>
        <w:ind w:leftChars="0"/>
        <w:jc w:val="both"/>
        <w:rPr>
          <w:rFonts w:hint="eastAsia"/>
          <w:b/>
          <w:bCs/>
          <w:lang w:val="en-US" w:eastAsia="zh-CN"/>
        </w:rPr>
      </w:pPr>
    </w:p>
    <w:p w14:paraId="46FDAA5D">
      <w:pPr>
        <w:widowControl w:val="0"/>
        <w:numPr>
          <w:ilvl w:val="0"/>
          <w:numId w:val="0"/>
        </w:numPr>
        <w:ind w:leftChars="0"/>
        <w:jc w:val="both"/>
        <w:rPr>
          <w:rFonts w:hint="eastAsia"/>
          <w:b/>
          <w:bCs/>
          <w:lang w:val="en-US" w:eastAsia="zh-CN"/>
        </w:rPr>
      </w:pPr>
      <w:r>
        <w:rPr>
          <w:rFonts w:hint="eastAsia"/>
          <w:b/>
          <w:bCs/>
          <w:lang w:val="en-US" w:eastAsia="zh-CN"/>
        </w:rPr>
        <w:t>关于推动原料药产业高质量发展实施方案的通知</w:t>
      </w:r>
    </w:p>
    <w:p w14:paraId="5BBB6187">
      <w:pPr>
        <w:widowControl w:val="0"/>
        <w:numPr>
          <w:ilvl w:val="0"/>
          <w:numId w:val="0"/>
        </w:numPr>
        <w:ind w:leftChars="0"/>
        <w:jc w:val="both"/>
        <w:rPr>
          <w:rFonts w:hint="eastAsia"/>
          <w:b/>
          <w:bCs/>
          <w:lang w:val="en-US" w:eastAsia="zh-CN"/>
        </w:rPr>
      </w:pPr>
    </w:p>
    <w:p w14:paraId="08B414E9">
      <w:pPr>
        <w:widowControl w:val="0"/>
        <w:numPr>
          <w:ilvl w:val="0"/>
          <w:numId w:val="0"/>
        </w:numPr>
        <w:ind w:leftChars="0"/>
        <w:jc w:val="both"/>
        <w:rPr>
          <w:rFonts w:hint="eastAsia"/>
          <w:b w:val="0"/>
          <w:bCs w:val="0"/>
          <w:lang w:val="en-US" w:eastAsia="zh-CN"/>
        </w:rPr>
      </w:pPr>
      <w:r>
        <w:rPr>
          <w:rFonts w:hint="eastAsia"/>
          <w:b w:val="0"/>
          <w:bCs w:val="0"/>
          <w:lang w:val="en-US" w:eastAsia="zh-CN"/>
        </w:rPr>
        <w:t>顺应原料药技术革新趋势，加快合成生物技术、连续流微反应、连续结晶和晶型控制等先进技术开发与应用，利用现代技术改造传统生产过程。推动骨干企业开展数字化、智能化改造升级，提升生产效率和质量控制水平。围绕原料药生产关键共性技术，支持发展一批外部性较强的公共服务平台。</w:t>
      </w:r>
    </w:p>
    <w:p w14:paraId="20B695E7">
      <w:pPr>
        <w:widowControl w:val="0"/>
        <w:numPr>
          <w:ilvl w:val="0"/>
          <w:numId w:val="0"/>
        </w:numPr>
        <w:ind w:leftChars="0"/>
        <w:jc w:val="both"/>
      </w:pPr>
      <w:r>
        <w:drawing>
          <wp:inline distT="0" distB="0" distL="114300" distR="114300">
            <wp:extent cx="5270500" cy="4025900"/>
            <wp:effectExtent l="0" t="0" r="6350" b="12700"/>
            <wp:docPr id="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7"/>
                    <pic:cNvPicPr>
                      <a:picLocks noChangeAspect="1"/>
                    </pic:cNvPicPr>
                  </pic:nvPicPr>
                  <pic:blipFill>
                    <a:blip r:embed="rId4"/>
                    <a:stretch>
                      <a:fillRect/>
                    </a:stretch>
                  </pic:blipFill>
                  <pic:spPr>
                    <a:xfrm>
                      <a:off x="0" y="0"/>
                      <a:ext cx="5270500" cy="4025900"/>
                    </a:xfrm>
                    <a:prstGeom prst="rect">
                      <a:avLst/>
                    </a:prstGeom>
                    <a:noFill/>
                    <a:ln>
                      <a:noFill/>
                    </a:ln>
                  </pic:spPr>
                </pic:pic>
              </a:graphicData>
            </a:graphic>
          </wp:inline>
        </w:drawing>
      </w:r>
    </w:p>
    <w:p w14:paraId="3FF9B609">
      <w:pPr>
        <w:widowControl w:val="0"/>
        <w:numPr>
          <w:ilvl w:val="0"/>
          <w:numId w:val="0"/>
        </w:numPr>
        <w:jc w:val="both"/>
        <w:rPr>
          <w:rFonts w:hint="eastAsia"/>
          <w:b/>
          <w:bCs/>
          <w:lang w:val="en-US" w:eastAsia="zh-CN"/>
        </w:rPr>
      </w:pPr>
      <w:r>
        <w:rPr>
          <w:rFonts w:hint="eastAsia"/>
          <w:b/>
          <w:bCs/>
          <w:lang w:val="en-US" w:eastAsia="zh-CN"/>
        </w:rPr>
        <w:t>二、原料药主流前沿技术及重点企业布局</w:t>
      </w:r>
    </w:p>
    <w:p w14:paraId="1C8CA4F1">
      <w:pPr>
        <w:widowControl w:val="0"/>
        <w:numPr>
          <w:ilvl w:val="0"/>
          <w:numId w:val="0"/>
        </w:numPr>
        <w:ind w:leftChars="0"/>
        <w:jc w:val="both"/>
        <w:rPr>
          <w:rFonts w:hint="eastAsia"/>
          <w:lang w:val="en-US" w:eastAsia="zh-CN"/>
        </w:rPr>
      </w:pPr>
    </w:p>
    <w:p w14:paraId="525C55F9">
      <w:pPr>
        <w:widowControl w:val="0"/>
        <w:numPr>
          <w:ilvl w:val="0"/>
          <w:numId w:val="0"/>
        </w:numPr>
        <w:ind w:leftChars="0"/>
        <w:jc w:val="both"/>
        <w:rPr>
          <w:rFonts w:hint="eastAsia"/>
          <w:lang w:val="en-US" w:eastAsia="zh-CN"/>
        </w:rPr>
      </w:pPr>
      <w:r>
        <w:rPr>
          <w:rFonts w:hint="eastAsia"/>
          <w:lang w:val="en-US" w:eastAsia="zh-CN"/>
        </w:rPr>
        <w:t>原料药主流前沿技术涵盖了多个方面，包括合成生物学、连续流微反应技术、晶型控制、连续结晶、酶催化、共晶、不对称有机催化等。这些技术的不断发展和应用，将推动原料药产业向更高质量、更绿色、更可持续的方向发展。</w:t>
      </w:r>
    </w:p>
    <w:p w14:paraId="2F818726">
      <w:pPr>
        <w:widowControl w:val="0"/>
        <w:numPr>
          <w:ilvl w:val="0"/>
          <w:numId w:val="0"/>
        </w:numPr>
        <w:ind w:leftChars="0"/>
        <w:jc w:val="both"/>
        <w:rPr>
          <w:rFonts w:hint="eastAsia"/>
          <w:lang w:val="en-US" w:eastAsia="zh-CN"/>
        </w:rPr>
      </w:pPr>
    </w:p>
    <w:p w14:paraId="013C7F2D">
      <w:pPr>
        <w:widowControl w:val="0"/>
        <w:numPr>
          <w:ilvl w:val="0"/>
          <w:numId w:val="0"/>
        </w:numPr>
        <w:ind w:leftChars="0"/>
        <w:jc w:val="center"/>
        <w:rPr>
          <w:rFonts w:hint="eastAsia"/>
          <w:b/>
          <w:bCs/>
          <w:lang w:val="en-US" w:eastAsia="zh-CN"/>
        </w:rPr>
      </w:pPr>
      <w:r>
        <w:rPr>
          <w:rFonts w:hint="eastAsia"/>
          <w:b/>
          <w:bCs/>
          <w:lang w:val="en-US" w:eastAsia="zh-CN"/>
        </w:rPr>
        <w:t>原料药主流前沿技术概览</w:t>
      </w:r>
    </w:p>
    <w:p w14:paraId="0A580780">
      <w:pPr>
        <w:widowControl w:val="0"/>
        <w:numPr>
          <w:ilvl w:val="0"/>
          <w:numId w:val="0"/>
        </w:numPr>
        <w:ind w:leftChars="0"/>
        <w:jc w:val="both"/>
        <w:rPr>
          <w:rFonts w:hint="eastAsia" w:eastAsiaTheme="minorEastAsia"/>
          <w:lang w:eastAsia="zh-CN"/>
        </w:rPr>
      </w:pPr>
      <w:r>
        <w:rPr>
          <w:rFonts w:hint="eastAsia" w:eastAsiaTheme="minorEastAsia"/>
          <w:lang w:eastAsia="zh-CN"/>
        </w:rPr>
        <w:drawing>
          <wp:inline distT="0" distB="0" distL="114300" distR="114300">
            <wp:extent cx="5263515" cy="4624705"/>
            <wp:effectExtent l="0" t="0" r="13335" b="4445"/>
            <wp:docPr id="1" name="图片 1" descr="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36"/>
                    <pic:cNvPicPr>
                      <a:picLocks noChangeAspect="1"/>
                    </pic:cNvPicPr>
                  </pic:nvPicPr>
                  <pic:blipFill>
                    <a:blip r:embed="rId5"/>
                    <a:stretch>
                      <a:fillRect/>
                    </a:stretch>
                  </pic:blipFill>
                  <pic:spPr>
                    <a:xfrm>
                      <a:off x="0" y="0"/>
                      <a:ext cx="5263515" cy="4624705"/>
                    </a:xfrm>
                    <a:prstGeom prst="rect">
                      <a:avLst/>
                    </a:prstGeom>
                  </pic:spPr>
                </pic:pic>
              </a:graphicData>
            </a:graphic>
          </wp:inline>
        </w:drawing>
      </w:r>
    </w:p>
    <w:p w14:paraId="3483A675">
      <w:pPr>
        <w:widowControl w:val="0"/>
        <w:numPr>
          <w:ilvl w:val="0"/>
          <w:numId w:val="0"/>
        </w:numPr>
        <w:ind w:leftChars="0"/>
        <w:jc w:val="both"/>
      </w:pPr>
    </w:p>
    <w:p w14:paraId="48D6DCC6">
      <w:pPr>
        <w:widowControl w:val="0"/>
        <w:numPr>
          <w:ilvl w:val="0"/>
          <w:numId w:val="0"/>
        </w:numPr>
        <w:ind w:leftChars="0"/>
        <w:jc w:val="both"/>
        <w:rPr>
          <w:rFonts w:hint="eastAsia"/>
          <w:lang w:val="en-US" w:eastAsia="zh-CN"/>
        </w:rPr>
      </w:pPr>
      <w:r>
        <w:rPr>
          <w:rFonts w:hint="eastAsia"/>
        </w:rPr>
        <w:t>原料药重点企业在核心技术布局上展现出显著的实力和创新力。</w:t>
      </w:r>
      <w:r>
        <w:rPr>
          <w:rFonts w:hint="eastAsia"/>
          <w:b/>
          <w:bCs/>
        </w:rPr>
        <w:t>新和成、浙江医药、普洛药业、华海药业及凯莱英</w:t>
      </w:r>
      <w:r>
        <w:rPr>
          <w:rFonts w:hint="eastAsia"/>
          <w:b/>
          <w:bCs/>
          <w:lang w:val="en-US" w:eastAsia="zh-CN"/>
        </w:rPr>
        <w:t>等</w:t>
      </w:r>
      <w:r>
        <w:rPr>
          <w:rFonts w:hint="eastAsia"/>
        </w:rPr>
        <w:t>作为原料药行业的领军企业，各自在核心技术布局上展现独特优势：新和成专注于合成生物学和微生物发酵技术，推动维生素及氨基酸类产品的高效生产；浙江医药则依托其在生物发酵和化学合成领域的深厚积累，强化高端抗生素及维生素类药物的研发与制造；普洛药业通过持续优化不对称合成和连续流技术，增强了特色原料药的创新与生产能力；华海药业则在高难度制剂技术及原料药绿色生产工艺上构建核心竞争力，特别是在API与制剂一体化方面表现突出；凯莱英作为CDMO领域的佼佼者，重点布局连续性反应和生物催化技术，为全球客户提供高效、环保的定制化原料药生产解决方案</w:t>
      </w:r>
      <w:r>
        <w:rPr>
          <w:rFonts w:hint="eastAsia"/>
          <w:lang w:val="en-US" w:eastAsia="zh-CN"/>
        </w:rPr>
        <w:t>......</w:t>
      </w:r>
    </w:p>
    <w:p w14:paraId="5748B21E">
      <w:pPr>
        <w:widowControl w:val="0"/>
        <w:numPr>
          <w:ilvl w:val="0"/>
          <w:numId w:val="0"/>
        </w:numPr>
        <w:ind w:leftChars="0"/>
        <w:jc w:val="both"/>
        <w:rPr>
          <w:rFonts w:hint="default"/>
          <w:lang w:val="en-US" w:eastAsia="zh-CN"/>
        </w:rPr>
      </w:pPr>
    </w:p>
    <w:p w14:paraId="58A983EA">
      <w:pPr>
        <w:widowControl w:val="0"/>
        <w:numPr>
          <w:ilvl w:val="0"/>
          <w:numId w:val="0"/>
        </w:numPr>
        <w:ind w:leftChars="0"/>
        <w:jc w:val="center"/>
        <w:rPr>
          <w:b/>
          <w:bCs/>
        </w:rPr>
      </w:pPr>
      <w:r>
        <w:rPr>
          <w:rFonts w:hint="eastAsia"/>
          <w:b/>
          <w:bCs/>
        </w:rPr>
        <w:t>原料药重点企业相关核心技术布局情况</w:t>
      </w:r>
    </w:p>
    <w:p w14:paraId="150C44B9">
      <w:pPr>
        <w:widowControl w:val="0"/>
        <w:numPr>
          <w:ilvl w:val="0"/>
          <w:numId w:val="0"/>
        </w:numPr>
        <w:ind w:leftChars="0"/>
        <w:jc w:val="both"/>
      </w:pPr>
      <w:r>
        <w:drawing>
          <wp:inline distT="0" distB="0" distL="114300" distR="114300">
            <wp:extent cx="5272405" cy="2304415"/>
            <wp:effectExtent l="0" t="0" r="0" b="0"/>
            <wp:docPr id="6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0"/>
                    <pic:cNvPicPr>
                      <a:picLocks noChangeAspect="1"/>
                    </pic:cNvPicPr>
                  </pic:nvPicPr>
                  <pic:blipFill>
                    <a:blip r:embed="rId6"/>
                    <a:srcRect t="12003"/>
                    <a:stretch>
                      <a:fillRect/>
                    </a:stretch>
                  </pic:blipFill>
                  <pic:spPr>
                    <a:xfrm>
                      <a:off x="0" y="0"/>
                      <a:ext cx="5272405" cy="2304415"/>
                    </a:xfrm>
                    <a:prstGeom prst="rect">
                      <a:avLst/>
                    </a:prstGeom>
                    <a:noFill/>
                    <a:ln>
                      <a:noFill/>
                    </a:ln>
                  </pic:spPr>
                </pic:pic>
              </a:graphicData>
            </a:graphic>
          </wp:inline>
        </w:drawing>
      </w:r>
    </w:p>
    <w:p w14:paraId="680B3F0E">
      <w:pPr>
        <w:widowControl w:val="0"/>
        <w:numPr>
          <w:ilvl w:val="0"/>
          <w:numId w:val="0"/>
        </w:numPr>
        <w:ind w:leftChars="0"/>
        <w:jc w:val="both"/>
        <w:rPr>
          <w:rFonts w:hint="eastAsia"/>
        </w:rPr>
      </w:pPr>
    </w:p>
    <w:p w14:paraId="0E7FEFAD">
      <w:pPr>
        <w:widowControl w:val="0"/>
        <w:numPr>
          <w:ilvl w:val="0"/>
          <w:numId w:val="0"/>
        </w:numPr>
        <w:ind w:leftChars="0"/>
        <w:jc w:val="both"/>
        <w:rPr>
          <w:rFonts w:hint="eastAsia"/>
        </w:rPr>
      </w:pPr>
    </w:p>
    <w:p w14:paraId="4B6B197B">
      <w:pPr>
        <w:widowControl w:val="0"/>
        <w:numPr>
          <w:ilvl w:val="0"/>
          <w:numId w:val="0"/>
        </w:numPr>
        <w:ind w:leftChars="0"/>
        <w:jc w:val="both"/>
        <w:rPr>
          <w:rFonts w:hint="eastAsia"/>
          <w:b/>
          <w:bCs/>
        </w:rPr>
      </w:pPr>
      <w:r>
        <w:rPr>
          <w:rFonts w:hint="eastAsia"/>
          <w:b/>
          <w:bCs/>
          <w:lang w:val="en-US" w:eastAsia="zh-CN"/>
        </w:rPr>
        <w:t>三、</w:t>
      </w:r>
      <w:r>
        <w:rPr>
          <w:rFonts w:hint="eastAsia"/>
          <w:b/>
          <w:bCs/>
        </w:rPr>
        <w:t>合成生物学：开辟原料药创新纪元</w:t>
      </w:r>
    </w:p>
    <w:p w14:paraId="43C94F4E">
      <w:pPr>
        <w:widowControl w:val="0"/>
        <w:numPr>
          <w:ilvl w:val="0"/>
          <w:numId w:val="0"/>
        </w:numPr>
        <w:ind w:leftChars="0"/>
        <w:jc w:val="both"/>
        <w:rPr>
          <w:rFonts w:hint="eastAsia"/>
        </w:rPr>
      </w:pPr>
    </w:p>
    <w:p w14:paraId="098ACED5">
      <w:pPr>
        <w:widowControl w:val="0"/>
        <w:numPr>
          <w:ilvl w:val="0"/>
          <w:numId w:val="1"/>
        </w:numPr>
        <w:ind w:leftChars="0"/>
        <w:jc w:val="both"/>
        <w:rPr>
          <w:rFonts w:hint="eastAsia"/>
          <w:b/>
          <w:bCs/>
        </w:rPr>
      </w:pPr>
      <w:r>
        <w:rPr>
          <w:rFonts w:hint="eastAsia"/>
          <w:b/>
          <w:bCs/>
        </w:rPr>
        <w:t>天然产物生产是合成生物学最有效且普遍应用之一</w:t>
      </w:r>
    </w:p>
    <w:p w14:paraId="45600FC0">
      <w:pPr>
        <w:widowControl w:val="0"/>
        <w:numPr>
          <w:ilvl w:val="0"/>
          <w:numId w:val="0"/>
        </w:numPr>
        <w:ind w:leftChars="0"/>
        <w:jc w:val="both"/>
      </w:pPr>
    </w:p>
    <w:p w14:paraId="101B3883">
      <w:pPr>
        <w:widowControl w:val="0"/>
        <w:numPr>
          <w:ilvl w:val="0"/>
          <w:numId w:val="0"/>
        </w:numPr>
        <w:ind w:leftChars="0"/>
        <w:jc w:val="both"/>
        <w:rPr>
          <w:rFonts w:hint="eastAsia"/>
        </w:rPr>
      </w:pPr>
      <w:r>
        <w:rPr>
          <w:rFonts w:hint="eastAsia"/>
        </w:rPr>
        <w:t>合成生物学 ( Synthetic biology) 是一门通过合成学设计、改造</w:t>
      </w:r>
      <w:r>
        <w:rPr>
          <w:rFonts w:hint="eastAsia"/>
          <w:lang w:eastAsia="zh-CN"/>
        </w:rPr>
        <w:t>，</w:t>
      </w:r>
      <w:r>
        <w:rPr>
          <w:rFonts w:hint="eastAsia"/>
        </w:rPr>
        <w:t>使其拥有满足人类需求的生物功能</w:t>
      </w:r>
      <w:r>
        <w:rPr>
          <w:rFonts w:hint="eastAsia"/>
          <w:lang w:eastAsia="zh-CN"/>
        </w:rPr>
        <w:t>，</w:t>
      </w:r>
      <w:r>
        <w:rPr>
          <w:rFonts w:hint="eastAsia"/>
        </w:rPr>
        <w:t>甚至创造新的生物系统的学科。它把“自下而上”的“建造”理念与系统生物学“自上而下”的“分析”理念相结合</w:t>
      </w:r>
      <w:r>
        <w:rPr>
          <w:rFonts w:hint="eastAsia"/>
          <w:lang w:eastAsia="zh-CN"/>
        </w:rPr>
        <w:t>，</w:t>
      </w:r>
      <w:r>
        <w:rPr>
          <w:rFonts w:hint="eastAsia"/>
        </w:rPr>
        <w:t>利用自然界中已有物质的多样性</w:t>
      </w:r>
      <w:r>
        <w:rPr>
          <w:rFonts w:hint="eastAsia"/>
          <w:lang w:eastAsia="zh-CN"/>
        </w:rPr>
        <w:t>，</w:t>
      </w:r>
      <w:r>
        <w:rPr>
          <w:rFonts w:hint="eastAsia"/>
        </w:rPr>
        <w:t>构建具有可预测和可控制特性的遗传、代谢或信号网络的合成成分。作为一门交叉学科</w:t>
      </w:r>
      <w:r>
        <w:rPr>
          <w:rFonts w:hint="eastAsia"/>
          <w:lang w:eastAsia="zh-CN"/>
        </w:rPr>
        <w:t>，</w:t>
      </w:r>
      <w:r>
        <w:rPr>
          <w:rFonts w:hint="eastAsia"/>
        </w:rPr>
        <w:t>合成生物学不仅包含基因工程、蛋白质工程等传统学科</w:t>
      </w:r>
      <w:r>
        <w:rPr>
          <w:rFonts w:hint="eastAsia"/>
          <w:lang w:eastAsia="zh-CN"/>
        </w:rPr>
        <w:t>，</w:t>
      </w:r>
      <w:r>
        <w:rPr>
          <w:rFonts w:hint="eastAsia"/>
        </w:rPr>
        <w:t>同时结合了系统生物学、化学、工程学等其它学科的研究思路。</w:t>
      </w:r>
    </w:p>
    <w:p w14:paraId="528B5A92">
      <w:pPr>
        <w:widowControl w:val="0"/>
        <w:numPr>
          <w:ilvl w:val="0"/>
          <w:numId w:val="0"/>
        </w:numPr>
        <w:ind w:leftChars="0"/>
        <w:jc w:val="both"/>
        <w:rPr>
          <w:rFonts w:hint="eastAsia"/>
        </w:rPr>
      </w:pPr>
    </w:p>
    <w:p w14:paraId="135D1648">
      <w:pPr>
        <w:widowControl w:val="0"/>
        <w:numPr>
          <w:ilvl w:val="0"/>
          <w:numId w:val="0"/>
        </w:numPr>
        <w:ind w:leftChars="0"/>
        <w:jc w:val="both"/>
        <w:rPr>
          <w:rFonts w:hint="eastAsia"/>
        </w:rPr>
      </w:pPr>
      <w:r>
        <w:rPr>
          <w:rFonts w:hint="eastAsia"/>
        </w:rPr>
        <w:t>随着合成生物学的迅速发展</w:t>
      </w:r>
      <w:r>
        <w:rPr>
          <w:rFonts w:hint="eastAsia"/>
          <w:lang w:eastAsia="zh-CN"/>
        </w:rPr>
        <w:t>，</w:t>
      </w:r>
      <w:r>
        <w:rPr>
          <w:rFonts w:hint="eastAsia"/>
        </w:rPr>
        <w:t>其拥有的巨大潜力已经引起了全球的争相关注。目前</w:t>
      </w:r>
      <w:r>
        <w:rPr>
          <w:rFonts w:hint="eastAsia"/>
          <w:lang w:eastAsia="zh-CN"/>
        </w:rPr>
        <w:t>，</w:t>
      </w:r>
      <w:r>
        <w:rPr>
          <w:rFonts w:hint="eastAsia"/>
        </w:rPr>
        <w:t>从全球研发的产品应用领域来看</w:t>
      </w:r>
      <w:r>
        <w:rPr>
          <w:rFonts w:hint="eastAsia"/>
          <w:lang w:eastAsia="zh-CN"/>
        </w:rPr>
        <w:t>，</w:t>
      </w:r>
      <w:r>
        <w:rPr>
          <w:rFonts w:hint="eastAsia"/>
        </w:rPr>
        <w:t>其产品已经涉及</w:t>
      </w:r>
      <w:r>
        <w:rPr>
          <w:rFonts w:hint="eastAsia"/>
          <w:b/>
          <w:bCs/>
        </w:rPr>
        <w:t>天然产物合成、生物医药、生物能源、工业</w:t>
      </w:r>
      <w:r>
        <w:rPr>
          <w:rFonts w:hint="eastAsia"/>
        </w:rPr>
        <w:t>等诸多领域。</w:t>
      </w:r>
    </w:p>
    <w:p w14:paraId="77F5A6F4">
      <w:pPr>
        <w:widowControl w:val="0"/>
        <w:numPr>
          <w:ilvl w:val="0"/>
          <w:numId w:val="0"/>
        </w:numPr>
        <w:ind w:leftChars="0"/>
        <w:jc w:val="both"/>
        <w:rPr>
          <w:rFonts w:hint="eastAsia"/>
        </w:rPr>
      </w:pPr>
    </w:p>
    <w:p w14:paraId="3594F4EA">
      <w:pPr>
        <w:widowControl w:val="0"/>
        <w:numPr>
          <w:ilvl w:val="0"/>
          <w:numId w:val="0"/>
        </w:numPr>
        <w:ind w:leftChars="0"/>
        <w:jc w:val="both"/>
      </w:pPr>
      <w:r>
        <w:rPr>
          <w:rFonts w:hint="eastAsia"/>
        </w:rPr>
        <w:t>其中，</w:t>
      </w:r>
      <w:r>
        <w:rPr>
          <w:rFonts w:hint="eastAsia"/>
          <w:b/>
          <w:bCs/>
        </w:rPr>
        <w:t>微生物系统工程用于提高天然产物的生产是合成生物学方法最有效和最普遍的应用之一</w:t>
      </w:r>
      <w:r>
        <w:rPr>
          <w:rFonts w:hint="eastAsia"/>
        </w:rPr>
        <w:t>，代表产物包括番茄红素、虾青素等。工业方面，以绿色环保的途径生产化学品已经是促进经济可持续发展的一个重要趋势；利用合成生物学方法对自然界中微生物进行改造可以提高其利用可再生生物质资源合成不同化学品的能力。</w:t>
      </w:r>
    </w:p>
    <w:p w14:paraId="0C39E384">
      <w:pPr>
        <w:widowControl w:val="0"/>
        <w:numPr>
          <w:ilvl w:val="0"/>
          <w:numId w:val="0"/>
        </w:numPr>
        <w:ind w:leftChars="0"/>
        <w:jc w:val="both"/>
      </w:pPr>
      <w:r>
        <w:drawing>
          <wp:inline distT="0" distB="0" distL="114300" distR="114300">
            <wp:extent cx="5271135" cy="4658360"/>
            <wp:effectExtent l="0" t="0" r="5715" b="8890"/>
            <wp:docPr id="6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1"/>
                    <pic:cNvPicPr>
                      <a:picLocks noChangeAspect="1"/>
                    </pic:cNvPicPr>
                  </pic:nvPicPr>
                  <pic:blipFill>
                    <a:blip r:embed="rId7"/>
                    <a:stretch>
                      <a:fillRect/>
                    </a:stretch>
                  </pic:blipFill>
                  <pic:spPr>
                    <a:xfrm>
                      <a:off x="0" y="0"/>
                      <a:ext cx="5271135" cy="4658360"/>
                    </a:xfrm>
                    <a:prstGeom prst="rect">
                      <a:avLst/>
                    </a:prstGeom>
                    <a:noFill/>
                    <a:ln>
                      <a:noFill/>
                    </a:ln>
                  </pic:spPr>
                </pic:pic>
              </a:graphicData>
            </a:graphic>
          </wp:inline>
        </w:drawing>
      </w:r>
    </w:p>
    <w:p w14:paraId="34169321">
      <w:pPr>
        <w:widowControl w:val="0"/>
        <w:numPr>
          <w:ilvl w:val="0"/>
          <w:numId w:val="1"/>
        </w:numPr>
        <w:ind w:left="0" w:leftChars="0" w:firstLine="0" w:firstLineChars="0"/>
        <w:jc w:val="both"/>
        <w:rPr>
          <w:rFonts w:hint="eastAsia"/>
          <w:b/>
          <w:bCs/>
        </w:rPr>
      </w:pPr>
      <w:r>
        <w:rPr>
          <w:rFonts w:hint="eastAsia"/>
          <w:b/>
          <w:bCs/>
        </w:rPr>
        <w:t>DNA合成、基因编辑、DNA组装与测序等底层技术相继突破，推动合成生物学迈向新台阶</w:t>
      </w:r>
    </w:p>
    <w:p w14:paraId="581CC8ED">
      <w:pPr>
        <w:widowControl w:val="0"/>
        <w:numPr>
          <w:ilvl w:val="0"/>
          <w:numId w:val="0"/>
        </w:numPr>
        <w:ind w:leftChars="0"/>
        <w:jc w:val="center"/>
      </w:pPr>
      <w:r>
        <w:drawing>
          <wp:inline distT="0" distB="0" distL="114300" distR="114300">
            <wp:extent cx="3987165" cy="3322955"/>
            <wp:effectExtent l="0" t="0" r="133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3987165" cy="3322955"/>
                    </a:xfrm>
                    <a:prstGeom prst="rect">
                      <a:avLst/>
                    </a:prstGeom>
                    <a:noFill/>
                    <a:ln>
                      <a:noFill/>
                    </a:ln>
                  </pic:spPr>
                </pic:pic>
              </a:graphicData>
            </a:graphic>
          </wp:inline>
        </w:drawing>
      </w:r>
    </w:p>
    <w:p w14:paraId="31D1E3D4">
      <w:pPr>
        <w:widowControl w:val="0"/>
        <w:numPr>
          <w:ilvl w:val="0"/>
          <w:numId w:val="0"/>
        </w:numPr>
        <w:ind w:leftChars="0"/>
        <w:jc w:val="both"/>
        <w:rPr>
          <w:rFonts w:hint="eastAsia"/>
        </w:rPr>
      </w:pPr>
      <w:r>
        <w:rPr>
          <w:rFonts w:hint="eastAsia"/>
        </w:rPr>
        <w:t>2012年，CRISPR技术横空出世，与ZFNs和TALENs技术相比,CRISPR/Cas9的设计要简单得多,而且成本很低,对于相同的靶点,CRISPR/Cas9有相当甚至更好的靶向效率。</w:t>
      </w:r>
    </w:p>
    <w:p w14:paraId="0D943DA9">
      <w:pPr>
        <w:widowControl w:val="0"/>
        <w:numPr>
          <w:ilvl w:val="0"/>
          <w:numId w:val="0"/>
        </w:numPr>
        <w:ind w:leftChars="0"/>
        <w:jc w:val="both"/>
        <w:rPr>
          <w:rFonts w:hint="eastAsia"/>
        </w:rPr>
      </w:pPr>
    </w:p>
    <w:p w14:paraId="015DF765">
      <w:pPr>
        <w:widowControl w:val="0"/>
        <w:numPr>
          <w:ilvl w:val="0"/>
          <w:numId w:val="0"/>
        </w:numPr>
        <w:ind w:leftChars="0"/>
        <w:jc w:val="both"/>
        <w:rPr>
          <w:rFonts w:hint="eastAsia"/>
        </w:rPr>
      </w:pPr>
      <w:r>
        <w:rPr>
          <w:rFonts w:hint="eastAsia"/>
        </w:rPr>
        <w:t>2021年</w:t>
      </w:r>
      <w:r>
        <w:rPr>
          <w:rFonts w:hint="eastAsia"/>
          <w:lang w:eastAsia="zh-CN"/>
        </w:rPr>
        <w:t>，</w:t>
      </w:r>
      <w:r>
        <w:rPr>
          <w:rFonts w:hint="eastAsia"/>
        </w:rPr>
        <w:t>每Mb碱基合成的平均费用已由2001年的超过5000美元下降至0.006美元，未来随着第四代酶促合成技术的发展和成熟，DNA合成有望进一步降低成本，实现更大规模化生产。</w:t>
      </w:r>
    </w:p>
    <w:p w14:paraId="52333F63">
      <w:pPr>
        <w:widowControl w:val="0"/>
        <w:numPr>
          <w:ilvl w:val="0"/>
          <w:numId w:val="0"/>
        </w:numPr>
        <w:ind w:leftChars="0"/>
        <w:jc w:val="both"/>
        <w:rPr>
          <w:rFonts w:hint="eastAsia"/>
        </w:rPr>
      </w:pPr>
    </w:p>
    <w:p w14:paraId="21ED8D40">
      <w:pPr>
        <w:widowControl w:val="0"/>
        <w:numPr>
          <w:ilvl w:val="0"/>
          <w:numId w:val="0"/>
        </w:numPr>
        <w:ind w:leftChars="0"/>
        <w:jc w:val="both"/>
        <w:rPr>
          <w:rFonts w:hint="eastAsia"/>
        </w:rPr>
      </w:pPr>
      <w:r>
        <w:rPr>
          <w:rFonts w:hint="eastAsia"/>
        </w:rPr>
        <w:t>DNA测序技术在过去几十年间得到了快速的发展，从最初的Sanger测序发展到四代纳米孔测序，基因测序成本也由2001年每基因组的接近1亿美元下降至2021年的0.006美元。随着技术的迭代，读长长度、测序速度等都有了质的飞跃。</w:t>
      </w:r>
    </w:p>
    <w:p w14:paraId="4E1F9A54">
      <w:pPr>
        <w:widowControl w:val="0"/>
        <w:numPr>
          <w:ilvl w:val="0"/>
          <w:numId w:val="0"/>
        </w:numPr>
        <w:ind w:leftChars="0"/>
        <w:jc w:val="both"/>
        <w:rPr>
          <w:rFonts w:hint="eastAsia"/>
        </w:rPr>
      </w:pPr>
    </w:p>
    <w:p w14:paraId="66365A6F">
      <w:pPr>
        <w:widowControl w:val="0"/>
        <w:numPr>
          <w:ilvl w:val="0"/>
          <w:numId w:val="1"/>
        </w:numPr>
        <w:ind w:left="0" w:leftChars="0" w:firstLine="0" w:firstLineChars="0"/>
        <w:jc w:val="both"/>
        <w:rPr>
          <w:rFonts w:hint="eastAsia"/>
          <w:b/>
          <w:bCs/>
        </w:rPr>
      </w:pPr>
      <w:r>
        <w:rPr>
          <w:rFonts w:hint="eastAsia"/>
          <w:b/>
          <w:bCs/>
        </w:rPr>
        <w:t>应用领域广泛，生产效率高，绿色环保，具有成本优势以及变革潜力</w:t>
      </w:r>
    </w:p>
    <w:p w14:paraId="03994511">
      <w:pPr>
        <w:widowControl w:val="0"/>
        <w:numPr>
          <w:ilvl w:val="0"/>
          <w:numId w:val="0"/>
        </w:numPr>
        <w:ind w:leftChars="0"/>
        <w:jc w:val="both"/>
        <w:rPr>
          <w:rFonts w:hint="eastAsia"/>
          <w:b/>
          <w:bCs/>
        </w:rPr>
      </w:pPr>
    </w:p>
    <w:p w14:paraId="05E632EE">
      <w:pPr>
        <w:widowControl w:val="0"/>
        <w:numPr>
          <w:ilvl w:val="0"/>
          <w:numId w:val="2"/>
        </w:numPr>
        <w:ind w:leftChars="0"/>
        <w:jc w:val="both"/>
        <w:rPr>
          <w:rFonts w:hint="eastAsia"/>
          <w:b/>
          <w:bCs/>
          <w:lang w:eastAsia="zh-CN"/>
        </w:rPr>
      </w:pPr>
      <w:r>
        <w:rPr>
          <w:rFonts w:hint="eastAsia"/>
          <w:b/>
          <w:bCs/>
          <w:lang w:eastAsia="zh-CN"/>
        </w:rPr>
        <w:t>减少碳排放，助力碳中和</w:t>
      </w:r>
    </w:p>
    <w:p w14:paraId="429BFC12">
      <w:pPr>
        <w:widowControl w:val="0"/>
        <w:numPr>
          <w:ilvl w:val="0"/>
          <w:numId w:val="0"/>
        </w:numPr>
        <w:jc w:val="both"/>
        <w:rPr>
          <w:rFonts w:hint="eastAsia"/>
          <w:b w:val="0"/>
          <w:bCs w:val="0"/>
          <w:lang w:eastAsia="zh-CN"/>
        </w:rPr>
      </w:pPr>
      <w:r>
        <w:rPr>
          <w:rFonts w:hint="eastAsia"/>
          <w:b w:val="0"/>
          <w:bCs w:val="0"/>
          <w:lang w:eastAsia="zh-CN"/>
        </w:rPr>
        <w:t>与使用石油基原材料的化学合成相比，合成生物学技术实现了大气中部分碳元素的闭环循环，减少了大气循环外部的碳元素释放，有利于“碳中和”目标在工业生产中的实现。</w:t>
      </w:r>
    </w:p>
    <w:p w14:paraId="06A5BCD4">
      <w:pPr>
        <w:widowControl w:val="0"/>
        <w:numPr>
          <w:ilvl w:val="0"/>
          <w:numId w:val="0"/>
        </w:numPr>
        <w:jc w:val="both"/>
        <w:rPr>
          <w:rFonts w:hint="eastAsia"/>
          <w:b w:val="0"/>
          <w:bCs w:val="0"/>
          <w:lang w:eastAsia="zh-CN"/>
        </w:rPr>
      </w:pPr>
    </w:p>
    <w:p w14:paraId="5D6CC097">
      <w:pPr>
        <w:widowControl w:val="0"/>
        <w:numPr>
          <w:ilvl w:val="0"/>
          <w:numId w:val="2"/>
        </w:numPr>
        <w:ind w:leftChars="0"/>
        <w:jc w:val="both"/>
        <w:rPr>
          <w:rFonts w:hint="eastAsia"/>
          <w:b/>
          <w:bCs/>
          <w:lang w:eastAsia="zh-CN"/>
        </w:rPr>
      </w:pPr>
      <w:r>
        <w:rPr>
          <w:rFonts w:hint="eastAsia"/>
          <w:b/>
          <w:bCs/>
          <w:lang w:eastAsia="zh-CN"/>
        </w:rPr>
        <w:t>应用领域广泛，具有变革潜力</w:t>
      </w:r>
    </w:p>
    <w:p w14:paraId="746986D9">
      <w:pPr>
        <w:widowControl w:val="0"/>
        <w:numPr>
          <w:ilvl w:val="0"/>
          <w:numId w:val="0"/>
        </w:numPr>
        <w:ind w:leftChars="0"/>
        <w:jc w:val="both"/>
        <w:rPr>
          <w:rFonts w:hint="eastAsia"/>
        </w:rPr>
      </w:pPr>
      <w:r>
        <w:rPr>
          <w:rFonts w:hint="eastAsia"/>
        </w:rPr>
        <w:t>合成生物学通过定向基因编辑改造生物体，作为高效细胞微工厂进行定向化、高效化、大规模化物质加工与转化，全面赋能传统行业，对传统生产方式进行补充和颠覆，在医疗、农业、食品、能源、化工、材料等领域具有变革性的潜力。</w:t>
      </w:r>
    </w:p>
    <w:p w14:paraId="1975B1DE">
      <w:pPr>
        <w:widowControl w:val="0"/>
        <w:numPr>
          <w:ilvl w:val="0"/>
          <w:numId w:val="0"/>
        </w:numPr>
        <w:ind w:leftChars="0"/>
        <w:jc w:val="both"/>
        <w:rPr>
          <w:rFonts w:hint="eastAsia"/>
        </w:rPr>
      </w:pPr>
    </w:p>
    <w:p w14:paraId="03CBB138">
      <w:pPr>
        <w:widowControl w:val="0"/>
        <w:numPr>
          <w:ilvl w:val="0"/>
          <w:numId w:val="0"/>
        </w:numPr>
        <w:ind w:leftChars="0"/>
        <w:jc w:val="both"/>
        <w:rPr>
          <w:rFonts w:hint="eastAsia" w:eastAsiaTheme="minorEastAsia"/>
          <w:b/>
          <w:bCs/>
          <w:lang w:eastAsia="zh-CN"/>
        </w:rPr>
      </w:pPr>
      <w:r>
        <w:rPr>
          <w:rFonts w:hint="eastAsia"/>
          <w:b/>
          <w:bCs/>
          <w:lang w:eastAsia="zh-CN"/>
        </w:rPr>
        <w:t>（</w:t>
      </w:r>
      <w:r>
        <w:rPr>
          <w:rFonts w:hint="eastAsia"/>
          <w:b/>
          <w:bCs/>
          <w:lang w:val="en-US" w:eastAsia="zh-CN"/>
        </w:rPr>
        <w:t>3</w:t>
      </w:r>
      <w:r>
        <w:rPr>
          <w:rFonts w:hint="eastAsia"/>
          <w:b/>
          <w:bCs/>
          <w:lang w:eastAsia="zh-CN"/>
        </w:rPr>
        <w:t>）大规模生物发酵+设备投资低，具有成本优势潜力</w:t>
      </w:r>
    </w:p>
    <w:p w14:paraId="629D5749">
      <w:pPr>
        <w:widowControl w:val="0"/>
        <w:numPr>
          <w:ilvl w:val="0"/>
          <w:numId w:val="0"/>
        </w:numPr>
        <w:ind w:leftChars="0"/>
        <w:jc w:val="both"/>
        <w:rPr>
          <w:rFonts w:hint="eastAsia"/>
        </w:rPr>
      </w:pPr>
      <w:r>
        <w:rPr>
          <w:rFonts w:hint="eastAsia"/>
        </w:rPr>
        <w:t>生物合成设备相较化工投资额低，可柔性生产，轻资产优势显著； 微生物体内代谢过程中的酶作为高效催化剂能大幅降低反应能耗，高选择性可提高目标产物收益率，最大化利用原料进而降低生产成本。</w:t>
      </w:r>
    </w:p>
    <w:p w14:paraId="024693FF">
      <w:pPr>
        <w:widowControl w:val="0"/>
        <w:numPr>
          <w:ilvl w:val="0"/>
          <w:numId w:val="0"/>
        </w:numPr>
        <w:ind w:leftChars="0"/>
        <w:jc w:val="both"/>
        <w:rPr>
          <w:rFonts w:hint="eastAsia"/>
        </w:rPr>
      </w:pPr>
    </w:p>
    <w:p w14:paraId="510781FA">
      <w:pPr>
        <w:widowControl w:val="0"/>
        <w:numPr>
          <w:ilvl w:val="0"/>
          <w:numId w:val="0"/>
        </w:numPr>
        <w:ind w:leftChars="0"/>
        <w:jc w:val="both"/>
        <w:rPr>
          <w:rFonts w:hint="eastAsia" w:eastAsiaTheme="minorEastAsia"/>
          <w:b/>
          <w:bCs/>
          <w:lang w:eastAsia="zh-CN"/>
        </w:rPr>
      </w:pPr>
      <w:r>
        <w:rPr>
          <w:rFonts w:hint="eastAsia"/>
          <w:b/>
          <w:bCs/>
          <w:lang w:eastAsia="zh-CN"/>
        </w:rPr>
        <w:t>（</w:t>
      </w:r>
      <w:r>
        <w:rPr>
          <w:rFonts w:hint="eastAsia"/>
          <w:b/>
          <w:bCs/>
          <w:lang w:val="en-US" w:eastAsia="zh-CN"/>
        </w:rPr>
        <w:t>4</w:t>
      </w:r>
      <w:r>
        <w:rPr>
          <w:rFonts w:hint="eastAsia"/>
          <w:b/>
          <w:bCs/>
          <w:lang w:eastAsia="zh-CN"/>
        </w:rPr>
        <w:t>）简化工艺步骤、生产效率提高</w:t>
      </w:r>
    </w:p>
    <w:p w14:paraId="336B0C65">
      <w:pPr>
        <w:widowControl w:val="0"/>
        <w:numPr>
          <w:ilvl w:val="0"/>
          <w:numId w:val="0"/>
        </w:numPr>
        <w:ind w:leftChars="0"/>
        <w:jc w:val="both"/>
        <w:rPr>
          <w:rFonts w:hint="eastAsia"/>
        </w:rPr>
      </w:pPr>
      <w:r>
        <w:rPr>
          <w:rFonts w:hint="eastAsia"/>
        </w:rPr>
        <w:t>传统的化学合成在制造复杂分子方面往往需要通过大量的中间体步骤才能生产出最后的目标分子。合成生物学技术可通过构建高性能酶或者设计底盘细胞内的代谢通路直接获得目标产物，简化了工艺步骤、提高了生产效率。</w:t>
      </w:r>
    </w:p>
    <w:p w14:paraId="641AF17E">
      <w:pPr>
        <w:widowControl w:val="0"/>
        <w:numPr>
          <w:ilvl w:val="0"/>
          <w:numId w:val="0"/>
        </w:numPr>
        <w:ind w:leftChars="0"/>
        <w:jc w:val="both"/>
        <w:rPr>
          <w:rFonts w:hint="eastAsia"/>
        </w:rPr>
      </w:pPr>
    </w:p>
    <w:p w14:paraId="2EEE40C8">
      <w:pPr>
        <w:widowControl w:val="0"/>
        <w:numPr>
          <w:ilvl w:val="0"/>
          <w:numId w:val="0"/>
        </w:numPr>
        <w:ind w:leftChars="0"/>
        <w:jc w:val="left"/>
        <w:rPr>
          <w:b/>
          <w:bCs/>
        </w:rPr>
      </w:pPr>
      <w:r>
        <w:rPr>
          <w:rFonts w:hint="eastAsia"/>
          <w:b/>
          <w:bCs/>
          <w:lang w:eastAsia="zh-CN"/>
        </w:rPr>
        <w:t>（</w:t>
      </w:r>
      <w:r>
        <w:rPr>
          <w:rFonts w:hint="eastAsia"/>
          <w:b/>
          <w:bCs/>
          <w:lang w:val="en-US" w:eastAsia="zh-CN"/>
        </w:rPr>
        <w:t>5</w:t>
      </w:r>
      <w:r>
        <w:rPr>
          <w:rFonts w:hint="eastAsia"/>
          <w:b/>
          <w:bCs/>
          <w:lang w:eastAsia="zh-CN"/>
        </w:rPr>
        <w:t>）</w:t>
      </w:r>
      <w:r>
        <w:rPr>
          <w:rFonts w:hint="eastAsia"/>
          <w:b/>
          <w:bCs/>
        </w:rPr>
        <w:t>生物催化反应高效，产品质量优势明显</w:t>
      </w:r>
    </w:p>
    <w:p w14:paraId="43E08F13">
      <w:pPr>
        <w:widowControl w:val="0"/>
        <w:numPr>
          <w:ilvl w:val="0"/>
          <w:numId w:val="0"/>
        </w:numPr>
        <w:ind w:leftChars="0"/>
        <w:jc w:val="both"/>
      </w:pPr>
      <w:r>
        <w:rPr>
          <w:rFonts w:hint="eastAsia"/>
        </w:rPr>
        <w:t>生物制造表现出不同于传统化学法的反应特性，在部分领域的表现已优于化学法。化学反应通常是通过分子内不同基团化学活性的差异来区分反应位点；而生物制造通常通过“锁-钥模型”，即酶与底物的特异性结合，通过氢键、π-π堆积、疏水作用力等分子间相互作用力来活化底物分子推动化学反应发生，可以在更温和的条件、更好的选择性推动反应进行，甚至会表现出与普通化学反应截然不同的选择性。</w:t>
      </w:r>
    </w:p>
    <w:p w14:paraId="108A4CEF">
      <w:pPr>
        <w:widowControl w:val="0"/>
        <w:numPr>
          <w:ilvl w:val="0"/>
          <w:numId w:val="0"/>
        </w:numPr>
        <w:ind w:leftChars="0"/>
        <w:jc w:val="both"/>
      </w:pPr>
    </w:p>
    <w:p w14:paraId="3F2035B6">
      <w:pPr>
        <w:widowControl w:val="0"/>
        <w:numPr>
          <w:ilvl w:val="0"/>
          <w:numId w:val="0"/>
        </w:numPr>
        <w:ind w:leftChars="0"/>
        <w:jc w:val="both"/>
      </w:pPr>
    </w:p>
    <w:p w14:paraId="290739EE">
      <w:pPr>
        <w:widowControl w:val="0"/>
        <w:numPr>
          <w:ilvl w:val="0"/>
          <w:numId w:val="1"/>
        </w:numPr>
        <w:ind w:left="0" w:leftChars="0" w:firstLine="0" w:firstLineChars="0"/>
        <w:jc w:val="both"/>
        <w:rPr>
          <w:b/>
          <w:bCs/>
        </w:rPr>
      </w:pPr>
      <w:r>
        <w:rPr>
          <w:rStyle w:val="5"/>
          <w:rFonts w:hint="eastAsia" w:ascii="Segoe UI" w:hAnsi="Segoe UI" w:eastAsia="Segoe UI" w:cs="Segoe UI"/>
          <w:b/>
          <w:bCs/>
          <w:i w:val="0"/>
          <w:iCs w:val="0"/>
          <w:caps w:val="0"/>
          <w:color w:val="05073B"/>
          <w:spacing w:val="0"/>
          <w:sz w:val="22"/>
          <w:szCs w:val="22"/>
          <w:shd w:val="clear" w:fill="FDFDFE"/>
        </w:rPr>
        <w:t>全球市场迅猛增长</w:t>
      </w:r>
      <w:r>
        <w:rPr>
          <w:rStyle w:val="5"/>
          <w:rFonts w:hint="eastAsia" w:ascii="Segoe UI" w:hAnsi="Segoe UI" w:eastAsia="宋体" w:cs="Segoe UI"/>
          <w:b/>
          <w:bCs/>
          <w:i w:val="0"/>
          <w:iCs w:val="0"/>
          <w:caps w:val="0"/>
          <w:color w:val="05073B"/>
          <w:spacing w:val="0"/>
          <w:sz w:val="22"/>
          <w:szCs w:val="22"/>
          <w:shd w:val="clear" w:fill="FDFDFE"/>
          <w:lang w:eastAsia="zh-CN"/>
        </w:rPr>
        <w:t>，</w:t>
      </w:r>
      <w:r>
        <w:rPr>
          <w:rStyle w:val="5"/>
          <w:rFonts w:ascii="Segoe UI" w:hAnsi="Segoe UI" w:eastAsia="Segoe UI" w:cs="Segoe UI"/>
          <w:b/>
          <w:bCs/>
          <w:i w:val="0"/>
          <w:iCs w:val="0"/>
          <w:caps w:val="0"/>
          <w:color w:val="05073B"/>
          <w:spacing w:val="0"/>
          <w:sz w:val="22"/>
          <w:szCs w:val="22"/>
          <w:shd w:val="clear" w:fill="FDFDFE"/>
        </w:rPr>
        <w:t>医疗健康应用领先</w:t>
      </w:r>
      <w:r>
        <w:rPr>
          <w:rStyle w:val="5"/>
          <w:rFonts w:hint="eastAsia" w:ascii="Segoe UI" w:hAnsi="Segoe UI" w:eastAsia="宋体" w:cs="Segoe UI"/>
          <w:b/>
          <w:bCs/>
          <w:i w:val="0"/>
          <w:iCs w:val="0"/>
          <w:caps w:val="0"/>
          <w:color w:val="05073B"/>
          <w:spacing w:val="0"/>
          <w:sz w:val="22"/>
          <w:szCs w:val="22"/>
          <w:shd w:val="clear" w:fill="FDFDFE"/>
          <w:lang w:eastAsia="zh-CN"/>
        </w:rPr>
        <w:t>，前景广阔</w:t>
      </w:r>
    </w:p>
    <w:p w14:paraId="47DE77F8">
      <w:pPr>
        <w:widowControl w:val="0"/>
        <w:numPr>
          <w:ilvl w:val="0"/>
          <w:numId w:val="0"/>
        </w:numPr>
        <w:ind w:leftChars="0"/>
        <w:jc w:val="both"/>
      </w:pPr>
    </w:p>
    <w:p w14:paraId="3ADABD8A">
      <w:pPr>
        <w:widowControl w:val="0"/>
        <w:numPr>
          <w:ilvl w:val="0"/>
          <w:numId w:val="0"/>
        </w:numPr>
        <w:ind w:leftChars="0"/>
        <w:jc w:val="both"/>
        <w:rPr>
          <w:rFonts w:hint="eastAsia"/>
        </w:rPr>
      </w:pPr>
      <w:r>
        <w:rPr>
          <w:rFonts w:hint="eastAsia"/>
        </w:rPr>
        <w:t>BCC Research 2020 年发布的《合成生物学：全球市场》报告数据显示，2019 年由合成生物学直接驱动的全球市场规模已达 53.19 亿美元，预计到 2024 年可达 188.85 亿美元，2019—2024 年的复合年增长率(Compound Annual Growth Rate，CAGR)可达28.8%。</w:t>
      </w:r>
    </w:p>
    <w:p w14:paraId="6FB1AAEC">
      <w:pPr>
        <w:widowControl w:val="0"/>
        <w:numPr>
          <w:ilvl w:val="0"/>
          <w:numId w:val="0"/>
        </w:numPr>
        <w:ind w:leftChars="0"/>
        <w:jc w:val="both"/>
        <w:rPr>
          <w:rFonts w:hint="eastAsia"/>
        </w:rPr>
      </w:pPr>
      <w:r>
        <w:drawing>
          <wp:inline distT="0" distB="0" distL="114300" distR="114300">
            <wp:extent cx="5272405" cy="2757805"/>
            <wp:effectExtent l="0" t="0" r="4445" b="4445"/>
            <wp:docPr id="6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4"/>
                    <pic:cNvPicPr>
                      <a:picLocks noChangeAspect="1"/>
                    </pic:cNvPicPr>
                  </pic:nvPicPr>
                  <pic:blipFill>
                    <a:blip r:embed="rId9"/>
                    <a:stretch>
                      <a:fillRect/>
                    </a:stretch>
                  </pic:blipFill>
                  <pic:spPr>
                    <a:xfrm>
                      <a:off x="0" y="0"/>
                      <a:ext cx="5272405" cy="2757805"/>
                    </a:xfrm>
                    <a:prstGeom prst="rect">
                      <a:avLst/>
                    </a:prstGeom>
                    <a:noFill/>
                    <a:ln>
                      <a:noFill/>
                    </a:ln>
                  </pic:spPr>
                </pic:pic>
              </a:graphicData>
            </a:graphic>
          </wp:inline>
        </w:drawing>
      </w:r>
    </w:p>
    <w:p w14:paraId="47A656D4">
      <w:pPr>
        <w:widowControl w:val="0"/>
        <w:numPr>
          <w:ilvl w:val="0"/>
          <w:numId w:val="0"/>
        </w:numPr>
        <w:ind w:leftChars="0"/>
        <w:jc w:val="both"/>
        <w:rPr>
          <w:rFonts w:hint="eastAsia"/>
        </w:rPr>
      </w:pPr>
      <w:r>
        <w:rPr>
          <w:rFonts w:hint="eastAsia"/>
        </w:rPr>
        <w:t>从全球范围内不同领域市场规模来看，与医疗健康相关的应用主导了合成生物学行业的商业化，而在食品、农业、消费品以及化工领域，孕育着重要的市场机遇，相关细分市场空间正在以高 CAGR 的水平增长。</w:t>
      </w:r>
    </w:p>
    <w:p w14:paraId="2324C96E">
      <w:pPr>
        <w:widowControl w:val="0"/>
        <w:numPr>
          <w:ilvl w:val="0"/>
          <w:numId w:val="0"/>
        </w:numPr>
        <w:ind w:leftChars="0"/>
        <w:jc w:val="both"/>
        <w:rPr>
          <w:rFonts w:hint="eastAsia"/>
        </w:rPr>
      </w:pPr>
    </w:p>
    <w:p w14:paraId="35DF1F80">
      <w:pPr>
        <w:widowControl w:val="0"/>
        <w:numPr>
          <w:ilvl w:val="0"/>
          <w:numId w:val="0"/>
        </w:numPr>
        <w:ind w:leftChars="0"/>
        <w:jc w:val="both"/>
      </w:pPr>
      <w:r>
        <w:rPr>
          <w:rFonts w:hint="eastAsia"/>
        </w:rPr>
        <w:t>从地理区域市场规模来看，全球合成生物学市场由北美洲和欧洲主导，分别占 2019年全球总市场份额的 58.5% 和 23.6%；亚太区是第三大市场，占 2019 年全球总市场份额的15.1%，与北美洲仍存在较为明显的差距。</w:t>
      </w:r>
    </w:p>
    <w:p w14:paraId="7F35D9B9">
      <w:pPr>
        <w:widowControl w:val="0"/>
        <w:numPr>
          <w:ilvl w:val="0"/>
          <w:numId w:val="0"/>
        </w:numPr>
        <w:ind w:leftChars="0"/>
        <w:jc w:val="both"/>
      </w:pPr>
      <w:r>
        <w:drawing>
          <wp:inline distT="0" distB="0" distL="114300" distR="114300">
            <wp:extent cx="5086350" cy="3114675"/>
            <wp:effectExtent l="0" t="0" r="0" b="9525"/>
            <wp:docPr id="6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5"/>
                    <pic:cNvPicPr>
                      <a:picLocks noChangeAspect="1"/>
                    </pic:cNvPicPr>
                  </pic:nvPicPr>
                  <pic:blipFill>
                    <a:blip r:embed="rId10"/>
                    <a:stretch>
                      <a:fillRect/>
                    </a:stretch>
                  </pic:blipFill>
                  <pic:spPr>
                    <a:xfrm>
                      <a:off x="0" y="0"/>
                      <a:ext cx="5086350" cy="3114675"/>
                    </a:xfrm>
                    <a:prstGeom prst="rect">
                      <a:avLst/>
                    </a:prstGeom>
                    <a:noFill/>
                    <a:ln>
                      <a:noFill/>
                    </a:ln>
                  </pic:spPr>
                </pic:pic>
              </a:graphicData>
            </a:graphic>
          </wp:inline>
        </w:drawing>
      </w:r>
    </w:p>
    <w:p w14:paraId="15C7CBAF">
      <w:pPr>
        <w:widowControl w:val="0"/>
        <w:numPr>
          <w:ilvl w:val="0"/>
          <w:numId w:val="0"/>
        </w:numPr>
        <w:ind w:leftChars="0"/>
        <w:jc w:val="both"/>
        <w:rPr>
          <w:rFonts w:hint="eastAsia"/>
          <w:b/>
          <w:bCs/>
        </w:rPr>
      </w:pPr>
    </w:p>
    <w:p w14:paraId="4F497FA8">
      <w:pPr>
        <w:widowControl w:val="0"/>
        <w:numPr>
          <w:ilvl w:val="0"/>
          <w:numId w:val="1"/>
        </w:numPr>
        <w:ind w:left="0" w:leftChars="0" w:firstLine="0" w:firstLineChars="0"/>
        <w:jc w:val="both"/>
        <w:rPr>
          <w:rFonts w:hint="eastAsia"/>
          <w:b/>
          <w:bCs/>
        </w:rPr>
      </w:pPr>
      <w:r>
        <w:rPr>
          <w:rFonts w:hint="eastAsia"/>
          <w:b/>
          <w:bCs/>
        </w:rPr>
        <w:t>投融资事件数量和金额不断攀升，专利申请数量持续增长</w:t>
      </w:r>
    </w:p>
    <w:p w14:paraId="4AE8CED5">
      <w:pPr>
        <w:widowControl w:val="0"/>
        <w:numPr>
          <w:ilvl w:val="0"/>
          <w:numId w:val="0"/>
        </w:numPr>
        <w:ind w:leftChars="0"/>
        <w:jc w:val="both"/>
      </w:pPr>
    </w:p>
    <w:p w14:paraId="3B787C5C">
      <w:pPr>
        <w:widowControl w:val="0"/>
        <w:numPr>
          <w:ilvl w:val="0"/>
          <w:numId w:val="0"/>
        </w:numPr>
        <w:ind w:leftChars="0"/>
        <w:jc w:val="both"/>
        <w:rPr>
          <w:rFonts w:hint="eastAsia"/>
        </w:rPr>
      </w:pPr>
      <w:r>
        <w:rPr>
          <w:rFonts w:hint="eastAsia"/>
        </w:rPr>
        <w:t>2018-2022年中国合成生物学（平台及应用层）一级市场共完成了556个投融资事件（不包括IPO、非IPO上市、二次上市、收并购、上市公司定增等），已披露融资总额923.17亿元。从2018年起融资热度逐年上升，在2021年融资事件数量和融资金额达到最高，2022年上半年融资市场较热，下半年受资本寒冬影响则遇冷，但在投资放缓的一级市场里，合成生物学整体资本热度有增无减。</w:t>
      </w:r>
    </w:p>
    <w:p w14:paraId="0CC4B68B">
      <w:pPr>
        <w:widowControl w:val="0"/>
        <w:numPr>
          <w:ilvl w:val="0"/>
          <w:numId w:val="0"/>
        </w:numPr>
        <w:ind w:leftChars="0"/>
        <w:jc w:val="center"/>
        <w:rPr>
          <w:rFonts w:hint="eastAsia"/>
        </w:rPr>
      </w:pPr>
      <w:r>
        <w:drawing>
          <wp:inline distT="0" distB="0" distL="114300" distR="114300">
            <wp:extent cx="4448175" cy="5381625"/>
            <wp:effectExtent l="0" t="0" r="9525" b="9525"/>
            <wp:docPr id="6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6"/>
                    <pic:cNvPicPr>
                      <a:picLocks noChangeAspect="1"/>
                    </pic:cNvPicPr>
                  </pic:nvPicPr>
                  <pic:blipFill>
                    <a:blip r:embed="rId11"/>
                    <a:stretch>
                      <a:fillRect/>
                    </a:stretch>
                  </pic:blipFill>
                  <pic:spPr>
                    <a:xfrm>
                      <a:off x="0" y="0"/>
                      <a:ext cx="4448175" cy="5381625"/>
                    </a:xfrm>
                    <a:prstGeom prst="rect">
                      <a:avLst/>
                    </a:prstGeom>
                    <a:noFill/>
                    <a:ln>
                      <a:noFill/>
                    </a:ln>
                  </pic:spPr>
                </pic:pic>
              </a:graphicData>
            </a:graphic>
          </wp:inline>
        </w:drawing>
      </w:r>
    </w:p>
    <w:p w14:paraId="677FC918">
      <w:pPr>
        <w:widowControl w:val="0"/>
        <w:numPr>
          <w:ilvl w:val="0"/>
          <w:numId w:val="0"/>
        </w:numPr>
        <w:ind w:leftChars="0"/>
        <w:jc w:val="both"/>
        <w:rPr>
          <w:rFonts w:hint="eastAsia"/>
        </w:rPr>
      </w:pPr>
      <w:r>
        <w:rPr>
          <w:rFonts w:hint="eastAsia"/>
        </w:rPr>
        <w:t>以“合成生物”作为关键词进行检索，国家知识产权局记录的有关“合成生物”的专利数量共1451 个(注:仅指专利名含有“合成生物”的专利，并非全部专利)。数据显示，2010年以来，我国合成生物学相关专利年度申请量呈现增长趋势，在2021年达到最高，为153 例。底层技术持续突破也将为合成生物学行业带来更大的发展动力，为更多高经济效益、环境友好型产品的大规模生产提供可能。</w:t>
      </w:r>
    </w:p>
    <w:p w14:paraId="3C1D3F6B">
      <w:pPr>
        <w:widowControl w:val="0"/>
        <w:numPr>
          <w:ilvl w:val="0"/>
          <w:numId w:val="0"/>
        </w:numPr>
        <w:ind w:leftChars="0"/>
        <w:jc w:val="both"/>
        <w:rPr>
          <w:rFonts w:hint="eastAsia"/>
        </w:rPr>
      </w:pPr>
    </w:p>
    <w:p w14:paraId="5F350979">
      <w:pPr>
        <w:widowControl w:val="0"/>
        <w:numPr>
          <w:ilvl w:val="0"/>
          <w:numId w:val="0"/>
        </w:numPr>
        <w:ind w:leftChars="0"/>
        <w:jc w:val="both"/>
        <w:rPr>
          <w:rFonts w:hint="eastAsia" w:eastAsiaTheme="minorEastAsia"/>
          <w:lang w:eastAsia="zh-CN"/>
        </w:rPr>
      </w:pPr>
      <w:r>
        <w:rPr>
          <w:rFonts w:hint="eastAsia"/>
          <w:b/>
          <w:bCs/>
        </w:rPr>
        <w:t>投融资事件数量和金额不断攀升，专利申请数量持续增长，从侧面反映合成生物学市场正在日趋成熟</w:t>
      </w:r>
      <w:r>
        <w:rPr>
          <w:rFonts w:hint="eastAsia"/>
          <w:b/>
          <w:bCs/>
          <w:lang w:eastAsia="zh-CN"/>
        </w:rPr>
        <w:t>。</w:t>
      </w:r>
    </w:p>
    <w:p w14:paraId="3EDEF4D3">
      <w:pPr>
        <w:widowControl w:val="0"/>
        <w:numPr>
          <w:ilvl w:val="0"/>
          <w:numId w:val="0"/>
        </w:numPr>
        <w:ind w:leftChars="0"/>
        <w:jc w:val="center"/>
      </w:pPr>
      <w:r>
        <w:drawing>
          <wp:inline distT="0" distB="0" distL="114300" distR="114300">
            <wp:extent cx="5270500" cy="2789555"/>
            <wp:effectExtent l="0" t="0" r="6350" b="10795"/>
            <wp:docPr id="6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7"/>
                    <pic:cNvPicPr>
                      <a:picLocks noChangeAspect="1"/>
                    </pic:cNvPicPr>
                  </pic:nvPicPr>
                  <pic:blipFill>
                    <a:blip r:embed="rId12"/>
                    <a:stretch>
                      <a:fillRect/>
                    </a:stretch>
                  </pic:blipFill>
                  <pic:spPr>
                    <a:xfrm>
                      <a:off x="0" y="0"/>
                      <a:ext cx="5270500" cy="2789555"/>
                    </a:xfrm>
                    <a:prstGeom prst="rect">
                      <a:avLst/>
                    </a:prstGeom>
                    <a:noFill/>
                    <a:ln>
                      <a:noFill/>
                    </a:ln>
                  </pic:spPr>
                </pic:pic>
              </a:graphicData>
            </a:graphic>
          </wp:inline>
        </w:drawing>
      </w:r>
    </w:p>
    <w:p w14:paraId="2AB1DAD5">
      <w:pPr>
        <w:widowControl w:val="0"/>
        <w:numPr>
          <w:ilvl w:val="0"/>
          <w:numId w:val="1"/>
        </w:numPr>
        <w:ind w:left="0" w:leftChars="0" w:firstLine="0" w:firstLineChars="0"/>
        <w:jc w:val="both"/>
        <w:rPr>
          <w:b/>
          <w:bCs/>
        </w:rPr>
      </w:pPr>
      <w:r>
        <w:rPr>
          <w:rFonts w:hint="eastAsia"/>
          <w:b/>
          <w:bCs/>
        </w:rPr>
        <w:t>在底盘菌株设计、大规模产业化、研发选品等方面仍存在挑战</w:t>
      </w:r>
    </w:p>
    <w:p w14:paraId="45300717">
      <w:pPr>
        <w:widowControl w:val="0"/>
        <w:numPr>
          <w:ilvl w:val="0"/>
          <w:numId w:val="0"/>
        </w:numPr>
        <w:ind w:leftChars="0"/>
        <w:jc w:val="center"/>
      </w:pPr>
    </w:p>
    <w:p w14:paraId="7D3052B3">
      <w:pPr>
        <w:widowControl w:val="0"/>
        <w:numPr>
          <w:ilvl w:val="0"/>
          <w:numId w:val="0"/>
        </w:numPr>
        <w:ind w:leftChars="0"/>
        <w:jc w:val="both"/>
        <w:rPr>
          <w:rFonts w:hint="eastAsia"/>
          <w:b/>
          <w:bCs/>
        </w:rPr>
      </w:pPr>
      <w:r>
        <w:rPr>
          <w:rFonts w:hint="eastAsia"/>
          <w:b/>
          <w:bCs/>
          <w:lang w:eastAsia="zh-CN"/>
        </w:rPr>
        <w:t>（</w:t>
      </w:r>
      <w:r>
        <w:rPr>
          <w:rFonts w:hint="eastAsia"/>
          <w:b/>
          <w:bCs/>
          <w:lang w:val="en-US" w:eastAsia="zh-CN"/>
        </w:rPr>
        <w:t>1</w:t>
      </w:r>
      <w:r>
        <w:rPr>
          <w:rFonts w:hint="eastAsia"/>
          <w:b/>
          <w:bCs/>
          <w:lang w:eastAsia="zh-CN"/>
        </w:rPr>
        <w:t>）</w:t>
      </w:r>
      <w:r>
        <w:rPr>
          <w:rFonts w:hint="eastAsia"/>
          <w:b/>
          <w:bCs/>
        </w:rPr>
        <w:t>技术难题</w:t>
      </w:r>
    </w:p>
    <w:p w14:paraId="7194F7ED">
      <w:pPr>
        <w:widowControl w:val="0"/>
        <w:numPr>
          <w:ilvl w:val="0"/>
          <w:numId w:val="0"/>
        </w:numPr>
        <w:ind w:leftChars="0"/>
        <w:jc w:val="both"/>
        <w:rPr>
          <w:rFonts w:hint="eastAsia" w:eastAsiaTheme="minorEastAsia"/>
          <w:lang w:eastAsia="zh-CN"/>
        </w:rPr>
      </w:pPr>
      <w:r>
        <w:rPr>
          <w:rFonts w:hint="eastAsia"/>
        </w:rPr>
        <w:t>底盘菌株理性设计的技术门槛</w:t>
      </w:r>
      <w:r>
        <w:rPr>
          <w:rFonts w:hint="eastAsia"/>
          <w:lang w:eastAsia="zh-CN"/>
        </w:rPr>
        <w:t>：</w:t>
      </w:r>
      <w:r>
        <w:rPr>
          <w:rFonts w:hint="eastAsia"/>
        </w:rPr>
        <w:t>菌株的发掘、认识、驯化、编辑设计的能力，是合成生物学创业团队需要跨越的重要技术门槛</w:t>
      </w:r>
      <w:r>
        <w:rPr>
          <w:rFonts w:hint="eastAsia"/>
          <w:lang w:eastAsia="zh-CN"/>
        </w:rPr>
        <w:t>。</w:t>
      </w:r>
    </w:p>
    <w:p w14:paraId="62BD3166">
      <w:pPr>
        <w:widowControl w:val="0"/>
        <w:numPr>
          <w:ilvl w:val="0"/>
          <w:numId w:val="0"/>
        </w:numPr>
        <w:ind w:leftChars="0"/>
        <w:jc w:val="both"/>
        <w:rPr>
          <w:rFonts w:hint="eastAsia"/>
        </w:rPr>
      </w:pPr>
    </w:p>
    <w:p w14:paraId="405362C7">
      <w:pPr>
        <w:widowControl w:val="0"/>
        <w:numPr>
          <w:ilvl w:val="0"/>
          <w:numId w:val="0"/>
        </w:numPr>
        <w:ind w:leftChars="0"/>
        <w:jc w:val="both"/>
        <w:rPr>
          <w:rFonts w:hint="eastAsia"/>
        </w:rPr>
      </w:pPr>
      <w:r>
        <w:rPr>
          <w:rFonts w:hint="eastAsia"/>
        </w:rPr>
        <w:t>大规模产业化存在难度</w:t>
      </w:r>
      <w:r>
        <w:rPr>
          <w:rFonts w:hint="eastAsia"/>
          <w:lang w:eastAsia="zh-CN"/>
        </w:rPr>
        <w:t>：</w:t>
      </w:r>
      <w:r>
        <w:rPr>
          <w:rFonts w:hint="eastAsia"/>
        </w:rPr>
        <w:t>工业化量产过程中可能面临目标产物不稳定、染菌、裂解纯化步骤繁琐及纯化成本高等问题。因此要求企业具备清晰解析底盘细胞内产物合成路径、优化代谢方式等技术能力。</w:t>
      </w:r>
    </w:p>
    <w:p w14:paraId="3C0E7015">
      <w:pPr>
        <w:widowControl w:val="0"/>
        <w:numPr>
          <w:ilvl w:val="0"/>
          <w:numId w:val="0"/>
        </w:numPr>
        <w:ind w:leftChars="0"/>
        <w:jc w:val="both"/>
        <w:rPr>
          <w:rFonts w:hint="eastAsia"/>
        </w:rPr>
      </w:pPr>
    </w:p>
    <w:p w14:paraId="73F2F979">
      <w:pPr>
        <w:widowControl w:val="0"/>
        <w:numPr>
          <w:ilvl w:val="0"/>
          <w:numId w:val="0"/>
        </w:numPr>
        <w:ind w:leftChars="0"/>
        <w:jc w:val="both"/>
        <w:rPr>
          <w:rFonts w:hint="eastAsia"/>
          <w:b/>
          <w:bCs/>
        </w:rPr>
      </w:pPr>
      <w:r>
        <w:rPr>
          <w:rFonts w:hint="eastAsia"/>
          <w:b/>
          <w:bCs/>
          <w:lang w:eastAsia="zh-CN"/>
        </w:rPr>
        <w:t>（</w:t>
      </w:r>
      <w:r>
        <w:rPr>
          <w:rFonts w:hint="eastAsia"/>
          <w:b/>
          <w:bCs/>
          <w:lang w:val="en-US" w:eastAsia="zh-CN"/>
        </w:rPr>
        <w:t>2</w:t>
      </w:r>
      <w:r>
        <w:rPr>
          <w:rFonts w:hint="eastAsia"/>
          <w:b/>
          <w:bCs/>
          <w:lang w:eastAsia="zh-CN"/>
        </w:rPr>
        <w:t>）</w:t>
      </w:r>
      <w:r>
        <w:rPr>
          <w:rFonts w:hint="eastAsia"/>
          <w:b/>
          <w:bCs/>
        </w:rPr>
        <w:t>产品应用</w:t>
      </w:r>
    </w:p>
    <w:p w14:paraId="12E084CB">
      <w:pPr>
        <w:widowControl w:val="0"/>
        <w:numPr>
          <w:ilvl w:val="0"/>
          <w:numId w:val="0"/>
        </w:numPr>
        <w:ind w:leftChars="0"/>
        <w:jc w:val="both"/>
        <w:rPr>
          <w:rFonts w:hint="eastAsia"/>
        </w:rPr>
      </w:pPr>
    </w:p>
    <w:p w14:paraId="6ADE551A">
      <w:pPr>
        <w:widowControl w:val="0"/>
        <w:numPr>
          <w:ilvl w:val="0"/>
          <w:numId w:val="0"/>
        </w:numPr>
        <w:ind w:leftChars="0"/>
        <w:jc w:val="both"/>
        <w:rPr>
          <w:rFonts w:hint="eastAsia"/>
        </w:rPr>
      </w:pPr>
      <w:r>
        <w:rPr>
          <w:rFonts w:hint="eastAsia"/>
        </w:rPr>
        <w:t>选品考验团队技术实力和市场认知</w:t>
      </w:r>
      <w:r>
        <w:rPr>
          <w:rFonts w:hint="eastAsia"/>
          <w:lang w:eastAsia="zh-CN"/>
        </w:rPr>
        <w:t>：</w:t>
      </w:r>
      <w:r>
        <w:rPr>
          <w:rFonts w:hint="eastAsia"/>
        </w:rPr>
        <w:t>合成生物学应用范围广泛，选品涉及多个行业，而不同行业面临的市场规则、监管政策、竞争格局也有较大差异。选品失败一般是因为对已有竞品替代性和市场前景的误判，此外，选择技术壁垒不高、同质化竞争激烈的开发方向也是一大误区。</w:t>
      </w:r>
    </w:p>
    <w:p w14:paraId="4FCC2398">
      <w:pPr>
        <w:widowControl w:val="0"/>
        <w:numPr>
          <w:ilvl w:val="0"/>
          <w:numId w:val="0"/>
        </w:numPr>
        <w:ind w:leftChars="0"/>
        <w:jc w:val="both"/>
        <w:rPr>
          <w:rFonts w:hint="eastAsia"/>
        </w:rPr>
      </w:pPr>
    </w:p>
    <w:p w14:paraId="5C242BC9">
      <w:pPr>
        <w:widowControl w:val="0"/>
        <w:numPr>
          <w:ilvl w:val="0"/>
          <w:numId w:val="0"/>
        </w:numPr>
        <w:ind w:leftChars="0"/>
        <w:jc w:val="both"/>
        <w:rPr>
          <w:rFonts w:hint="eastAsia"/>
        </w:rPr>
      </w:pPr>
      <w:r>
        <w:rPr>
          <w:rFonts w:hint="eastAsia"/>
        </w:rPr>
        <w:t>行业人才紧缺制约发展</w:t>
      </w:r>
      <w:r>
        <w:rPr>
          <w:rFonts w:hint="eastAsia"/>
          <w:lang w:eastAsia="zh-CN"/>
        </w:rPr>
        <w:t>：</w:t>
      </w:r>
      <w:r>
        <w:rPr>
          <w:rFonts w:hint="eastAsia"/>
        </w:rPr>
        <w:t>合成生物学跨学科的特点对行业人才提出了更高的要求。产业飞速发展对综合型高端人才的大量需求和高校培养人才的供应之间窜在供不应求的矛盾。</w:t>
      </w:r>
    </w:p>
    <w:p w14:paraId="6B991124">
      <w:pPr>
        <w:widowControl w:val="0"/>
        <w:numPr>
          <w:ilvl w:val="0"/>
          <w:numId w:val="0"/>
        </w:numPr>
        <w:ind w:leftChars="0"/>
        <w:jc w:val="both"/>
        <w:rPr>
          <w:rFonts w:hint="eastAsia"/>
        </w:rPr>
      </w:pPr>
    </w:p>
    <w:p w14:paraId="5F7DD8C5">
      <w:pPr>
        <w:widowControl w:val="0"/>
        <w:numPr>
          <w:ilvl w:val="0"/>
          <w:numId w:val="0"/>
        </w:numPr>
        <w:ind w:leftChars="0"/>
        <w:jc w:val="both"/>
        <w:rPr>
          <w:rFonts w:hint="eastAsia"/>
          <w:b/>
          <w:bCs/>
        </w:rPr>
      </w:pPr>
      <w:r>
        <w:rPr>
          <w:rFonts w:hint="eastAsia"/>
          <w:b/>
          <w:bCs/>
          <w:lang w:eastAsia="zh-CN"/>
        </w:rPr>
        <w:t>（</w:t>
      </w:r>
      <w:r>
        <w:rPr>
          <w:rFonts w:hint="eastAsia"/>
          <w:b/>
          <w:bCs/>
          <w:lang w:val="en-US" w:eastAsia="zh-CN"/>
        </w:rPr>
        <w:t>3</w:t>
      </w:r>
      <w:r>
        <w:rPr>
          <w:rFonts w:hint="eastAsia"/>
          <w:b/>
          <w:bCs/>
          <w:lang w:eastAsia="zh-CN"/>
        </w:rPr>
        <w:t>）</w:t>
      </w:r>
      <w:r>
        <w:rPr>
          <w:rFonts w:hint="eastAsia"/>
          <w:b/>
          <w:bCs/>
        </w:rPr>
        <w:t>外部环境</w:t>
      </w:r>
    </w:p>
    <w:p w14:paraId="261BFA2C">
      <w:pPr>
        <w:widowControl w:val="0"/>
        <w:numPr>
          <w:ilvl w:val="0"/>
          <w:numId w:val="0"/>
        </w:numPr>
        <w:ind w:leftChars="0"/>
        <w:jc w:val="both"/>
        <w:rPr>
          <w:rFonts w:hint="eastAsia"/>
        </w:rPr>
      </w:pPr>
      <w:r>
        <w:rPr>
          <w:rFonts w:hint="eastAsia"/>
        </w:rPr>
        <w:t>伦理争议与舆论环境</w:t>
      </w:r>
      <w:r>
        <w:rPr>
          <w:rFonts w:hint="eastAsia"/>
          <w:lang w:eastAsia="zh-CN"/>
        </w:rPr>
        <w:t>：</w:t>
      </w:r>
      <w:r>
        <w:rPr>
          <w:rFonts w:hint="eastAsia"/>
        </w:rPr>
        <w:t>伦理争议主要集中于合成生物学人工制造自然界中本不存在的生命</w:t>
      </w:r>
      <w:r>
        <w:rPr>
          <w:rFonts w:hint="eastAsia"/>
          <w:lang w:eastAsia="zh-CN"/>
        </w:rPr>
        <w:t>，</w:t>
      </w:r>
      <w:r>
        <w:rPr>
          <w:rFonts w:hint="eastAsia"/>
        </w:rPr>
        <w:t>违背了自然生命发展规模和尊重生命的伦理原则。</w:t>
      </w:r>
    </w:p>
    <w:p w14:paraId="364F4A7B">
      <w:pPr>
        <w:widowControl w:val="0"/>
        <w:numPr>
          <w:ilvl w:val="0"/>
          <w:numId w:val="0"/>
        </w:numPr>
        <w:ind w:leftChars="0"/>
        <w:jc w:val="both"/>
        <w:rPr>
          <w:rFonts w:hint="eastAsia"/>
        </w:rPr>
      </w:pPr>
    </w:p>
    <w:p w14:paraId="3D05EB19">
      <w:pPr>
        <w:widowControl w:val="0"/>
        <w:numPr>
          <w:ilvl w:val="0"/>
          <w:numId w:val="0"/>
        </w:numPr>
        <w:ind w:leftChars="0"/>
        <w:jc w:val="both"/>
        <w:rPr>
          <w:rFonts w:hint="eastAsia"/>
        </w:rPr>
      </w:pPr>
      <w:r>
        <w:rPr>
          <w:rFonts w:hint="eastAsia"/>
        </w:rPr>
        <w:t>公众认知</w:t>
      </w:r>
      <w:r>
        <w:rPr>
          <w:rFonts w:hint="eastAsia"/>
          <w:lang w:eastAsia="zh-CN"/>
        </w:rPr>
        <w:t>：</w:t>
      </w:r>
      <w:r>
        <w:rPr>
          <w:rFonts w:hint="eastAsia"/>
        </w:rPr>
        <w:t>根据公开资料显示，公众对合成生物学行业的认知依然偏低，“欠缺了解”的比例达到66.21%，大部分人因不了解而保持反对的立场。</w:t>
      </w:r>
    </w:p>
    <w:p w14:paraId="38C107E0">
      <w:pPr>
        <w:widowControl w:val="0"/>
        <w:numPr>
          <w:ilvl w:val="0"/>
          <w:numId w:val="0"/>
        </w:numPr>
        <w:ind w:leftChars="0"/>
        <w:jc w:val="both"/>
        <w:rPr>
          <w:rFonts w:hint="eastAsia"/>
        </w:rPr>
      </w:pPr>
    </w:p>
    <w:p w14:paraId="7858F7C8">
      <w:pPr>
        <w:widowControl w:val="0"/>
        <w:numPr>
          <w:ilvl w:val="0"/>
          <w:numId w:val="0"/>
        </w:numPr>
        <w:ind w:leftChars="0"/>
        <w:jc w:val="both"/>
        <w:rPr>
          <w:rFonts w:hint="eastAsia"/>
        </w:rPr>
      </w:pPr>
      <w:r>
        <w:rPr>
          <w:rFonts w:hint="eastAsia"/>
        </w:rPr>
        <w:t>政策支持</w:t>
      </w:r>
      <w:r>
        <w:rPr>
          <w:rFonts w:hint="eastAsia"/>
          <w:lang w:eastAsia="zh-CN"/>
        </w:rPr>
        <w:t>：</w:t>
      </w:r>
      <w:r>
        <w:rPr>
          <w:rFonts w:hint="eastAsia"/>
        </w:rPr>
        <w:t>合成生物学的支持性政策近年来得到不断完善，受重视程度逐渐提高，但合成生物学发展依赖于多领域、多行业的政策协同，需要规划制定研发、生产、应用各环节的配套支持政策。</w:t>
      </w:r>
    </w:p>
    <w:p w14:paraId="3346FACB">
      <w:pPr>
        <w:widowControl w:val="0"/>
        <w:numPr>
          <w:ilvl w:val="0"/>
          <w:numId w:val="0"/>
        </w:numPr>
        <w:ind w:leftChars="0"/>
        <w:jc w:val="both"/>
      </w:pPr>
    </w:p>
    <w:p w14:paraId="06FA2B5F">
      <w:pPr>
        <w:widowControl w:val="0"/>
        <w:numPr>
          <w:ilvl w:val="0"/>
          <w:numId w:val="0"/>
        </w:numPr>
        <w:ind w:leftChars="0"/>
        <w:jc w:val="both"/>
        <w:rPr>
          <w:rFonts w:hint="eastAsia"/>
          <w:lang w:val="en-US" w:eastAsia="zh-CN"/>
        </w:rPr>
      </w:pPr>
      <w:r>
        <w:rPr>
          <w:rFonts w:hint="eastAsia"/>
          <w:lang w:val="en-US" w:eastAsia="zh-CN"/>
        </w:rPr>
        <w:t>结语：</w:t>
      </w:r>
    </w:p>
    <w:p w14:paraId="7CF2064F">
      <w:r>
        <w:rPr>
          <w:rFonts w:hint="eastAsia"/>
        </w:rPr>
        <w:t>随着环保政策的持续完善和绿色转型的深入推进，原料药产业将迎来一个新的发展阶段。未来，原料药产业将更加注重绿色生产，提高资源利用效率，推动循环经济模式的应用，实现产业的可持续发展。同时，随着国际市场的不断扩大，原料药企业将积极拓展国际市场，加强国际合作，提升在全球产业价值链的地位和市场竞争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32290"/>
    <w:multiLevelType w:val="singleLevel"/>
    <w:tmpl w:val="82932290"/>
    <w:lvl w:ilvl="0" w:tentative="0">
      <w:start w:val="1"/>
      <w:numFmt w:val="decimal"/>
      <w:suff w:val="space"/>
      <w:lvlText w:val="%1."/>
      <w:lvlJc w:val="left"/>
    </w:lvl>
  </w:abstractNum>
  <w:abstractNum w:abstractNumId="1">
    <w:nsid w:val="AFC95487"/>
    <w:multiLevelType w:val="singleLevel"/>
    <w:tmpl w:val="AFC9548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lMTUwYzE0YTg1ZDE5M2MxYzVmZGQ1MjlkZTY2OGEifQ=="/>
  </w:docVars>
  <w:rsids>
    <w:rsidRoot w:val="22107C13"/>
    <w:rsid w:val="105C7928"/>
    <w:rsid w:val="22107C13"/>
    <w:rsid w:val="6F1E0E5D"/>
    <w:rsid w:val="70B45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4183</Words>
  <Characters>4415</Characters>
  <Lines>0</Lines>
  <Paragraphs>0</Paragraphs>
  <TotalTime>29</TotalTime>
  <ScaleCrop>false</ScaleCrop>
  <LinksUpToDate>false</LinksUpToDate>
  <CharactersWithSpaces>4445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2024-06-18T08:44:00Z</dcterms:created>
  <dc:creator>。</dc:creator>
  <cp:lastModifiedBy>拾二年</cp:lastModifiedBy>
  <dcterms:modified xsi:type="dcterms:W3CDTF">2025-06-11T10:05:34Z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C5B52A3DAC01472093D2242CE79E0E0F_11</vt:lpwstr>
  </property>
  <property fmtid="{D5CDD505-2E9C-101B-9397-08002B2CF9AE}" pid="4" name="KSOTemplateDocerSaveRecord">
    <vt:lpwstr>eyJoZGlkIjoiOTIyMzBjZDQ3M2UxYWE5NjJkNzRmNWZlYWE0MGY1NjQiLCJ1c2VySWQiOiIyNjM2NTMxNDYifQ==</vt:lpwstr>
  </property>
</Properties>
</file>