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86113">
      <w:pPr>
        <w:jc w:val="center"/>
        <w:rPr>
          <w:rFonts w:ascii="Times New Roman" w:hAnsi="Times New Roman"/>
          <w:b/>
          <w:bCs/>
          <w:sz w:val="28"/>
          <w:szCs w:val="36"/>
        </w:rPr>
      </w:pPr>
      <w:bookmarkStart w:id="1" w:name="_GoBack"/>
      <w:r>
        <w:rPr>
          <w:rFonts w:hint="eastAsia" w:ascii="Times New Roman" w:hAnsi="Times New Roman"/>
          <w:b/>
          <w:bCs/>
          <w:sz w:val="28"/>
          <w:szCs w:val="36"/>
          <w:lang w:val="en-US" w:eastAsia="zh-CN"/>
        </w:rPr>
        <w:t>恒美智造</w:t>
      </w:r>
      <w:r>
        <w:rPr>
          <w:rFonts w:hint="eastAsia" w:ascii="Times New Roman" w:hAnsi="Times New Roman"/>
          <w:b/>
          <w:bCs/>
          <w:sz w:val="28"/>
          <w:szCs w:val="36"/>
        </w:rPr>
        <w:t>颗粒强度测定仪</w:t>
      </w:r>
      <w:r>
        <w:rPr>
          <w:rFonts w:hint="eastAsia" w:ascii="Times New Roman" w:hAnsi="Times New Roman"/>
          <w:b/>
          <w:bCs/>
          <w:sz w:val="28"/>
          <w:szCs w:val="36"/>
          <w:lang w:val="en-US" w:eastAsia="zh-CN"/>
        </w:rPr>
        <w:t>-</w:t>
      </w:r>
      <w:r>
        <w:rPr>
          <w:rFonts w:hint="eastAsia" w:ascii="Times New Roman" w:hAnsi="Times New Roman"/>
          <w:b/>
          <w:bCs/>
          <w:sz w:val="28"/>
          <w:szCs w:val="36"/>
        </w:rPr>
        <w:t>催化剂颗粒强度的测定</w:t>
      </w:r>
      <w:r>
        <w:rPr>
          <w:rFonts w:hint="eastAsia" w:ascii="Times New Roman" w:hAnsi="Times New Roman"/>
          <w:b/>
          <w:bCs/>
          <w:sz w:val="28"/>
          <w:szCs w:val="36"/>
          <w:lang w:val="en-US" w:eastAsia="zh-CN"/>
        </w:rPr>
        <w:t>方案</w:t>
      </w:r>
    </w:p>
    <w:bookmarkEnd w:id="1"/>
    <w:p w14:paraId="6BA0D477">
      <w:pPr>
        <w:spacing w:line="360" w:lineRule="auto"/>
        <w:rPr>
          <w:rFonts w:ascii="Times New Roman" w:hAnsi="Times New Roman"/>
          <w:sz w:val="22"/>
          <w:szCs w:val="28"/>
        </w:rPr>
      </w:pPr>
      <w:r>
        <w:rPr>
          <w:rFonts w:ascii="Times New Roman" w:hAnsi="Times New Roman"/>
          <w:sz w:val="22"/>
          <w:szCs w:val="28"/>
        </w:rPr>
        <w:t>方案编号：HM-</w:t>
      </w:r>
      <w:r>
        <w:rPr>
          <w:rFonts w:hint="eastAsia" w:ascii="Times New Roman" w:hAnsi="Times New Roman"/>
          <w:sz w:val="22"/>
          <w:szCs w:val="28"/>
        </w:rPr>
        <w:t>KD</w:t>
      </w:r>
      <w:r>
        <w:rPr>
          <w:rFonts w:ascii="Times New Roman" w:hAnsi="Times New Roman"/>
          <w:sz w:val="22"/>
          <w:szCs w:val="28"/>
        </w:rPr>
        <w:t>-00</w:t>
      </w:r>
      <w:r>
        <w:rPr>
          <w:rFonts w:hint="eastAsia" w:ascii="Times New Roman" w:hAnsi="Times New Roman"/>
          <w:sz w:val="22"/>
          <w:szCs w:val="28"/>
        </w:rPr>
        <w:t>3</w:t>
      </w:r>
      <w:r>
        <w:rPr>
          <w:rFonts w:ascii="Times New Roman" w:hAnsi="Times New Roman"/>
          <w:sz w:val="22"/>
          <w:szCs w:val="28"/>
        </w:rPr>
        <w:br w:type="textWrapping"/>
      </w:r>
      <w:r>
        <w:rPr>
          <w:rFonts w:ascii="Times New Roman" w:hAnsi="Times New Roman"/>
          <w:sz w:val="22"/>
          <w:szCs w:val="28"/>
        </w:rPr>
        <w:t>适用仪器：HM-</w:t>
      </w:r>
      <w:r>
        <w:rPr>
          <w:rFonts w:hint="eastAsia" w:ascii="Times New Roman" w:hAnsi="Times New Roman"/>
          <w:sz w:val="22"/>
          <w:szCs w:val="28"/>
        </w:rPr>
        <w:t>KD颗粒强度测定</w:t>
      </w:r>
      <w:r>
        <w:rPr>
          <w:rFonts w:ascii="Times New Roman" w:hAnsi="Times New Roman"/>
          <w:sz w:val="22"/>
          <w:szCs w:val="28"/>
        </w:rPr>
        <w:t>仪</w:t>
      </w:r>
      <w:r>
        <w:rPr>
          <w:rFonts w:hint="eastAsia" w:ascii="Times New Roman" w:hAnsi="Times New Roman"/>
          <w:sz w:val="22"/>
          <w:szCs w:val="28"/>
        </w:rPr>
        <w:t>（全型号通用）</w:t>
      </w:r>
      <w:r>
        <w:rPr>
          <w:rFonts w:ascii="Times New Roman" w:hAnsi="Times New Roman"/>
          <w:sz w:val="22"/>
          <w:szCs w:val="28"/>
        </w:rPr>
        <w:br w:type="textWrapping"/>
      </w:r>
      <w:r>
        <w:rPr>
          <w:rFonts w:hint="eastAsia" w:ascii="Times New Roman" w:hAnsi="Times New Roman"/>
          <w:sz w:val="22"/>
          <w:szCs w:val="28"/>
        </w:rPr>
        <w:t>发布</w:t>
      </w:r>
      <w:r>
        <w:rPr>
          <w:rFonts w:ascii="Times New Roman" w:hAnsi="Times New Roman"/>
          <w:sz w:val="22"/>
          <w:szCs w:val="28"/>
        </w:rPr>
        <w:t>日期：202</w:t>
      </w:r>
      <w:r>
        <w:rPr>
          <w:rFonts w:hint="eastAsia" w:ascii="Times New Roman" w:hAnsi="Times New Roman"/>
          <w:sz w:val="22"/>
          <w:szCs w:val="28"/>
        </w:rPr>
        <w:t>6</w:t>
      </w:r>
      <w:r>
        <w:rPr>
          <w:rFonts w:ascii="Times New Roman" w:hAnsi="Times New Roman"/>
          <w:sz w:val="22"/>
          <w:szCs w:val="28"/>
        </w:rPr>
        <w:t>年</w:t>
      </w:r>
      <w:r>
        <w:rPr>
          <w:rFonts w:hint="eastAsia" w:ascii="Times New Roman" w:hAnsi="Times New Roman"/>
          <w:sz w:val="22"/>
          <w:szCs w:val="28"/>
        </w:rPr>
        <w:t>7</w:t>
      </w:r>
      <w:r>
        <w:rPr>
          <w:rFonts w:ascii="Times New Roman" w:hAnsi="Times New Roman"/>
          <w:sz w:val="22"/>
          <w:szCs w:val="28"/>
        </w:rPr>
        <w:t>月</w:t>
      </w:r>
      <w:r>
        <w:rPr>
          <w:rFonts w:hint="eastAsia" w:ascii="Times New Roman" w:hAnsi="Times New Roman"/>
          <w:sz w:val="22"/>
          <w:szCs w:val="28"/>
        </w:rPr>
        <w:t>2日</w:t>
      </w:r>
    </w:p>
    <w:p w14:paraId="1403CCC6">
      <w:pPr>
        <w:rPr>
          <w:rFonts w:ascii="Times New Roman" w:hAnsi="Times New Roman"/>
        </w:rPr>
      </w:pPr>
      <w:r>
        <w:rPr>
          <w:rFonts w:ascii="Times New Roman" w:hAnsi="Times New Roman"/>
          <w:sz w:val="6"/>
          <w:szCs w:val="10"/>
        </w:rPr>
        <w:pict>
          <v:rect id="_x0000_i1025" o:spt="1" style="height:0.8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D37F00">
      <w:pPr>
        <w:pStyle w:val="5"/>
        <w:spacing w:before="40" w:after="40" w:line="300" w:lineRule="auto"/>
        <w:rPr>
          <w:rFonts w:ascii="Times New Roman" w:hAnsi="Times New Roman"/>
          <w:sz w:val="24"/>
          <w:szCs w:val="22"/>
        </w:rPr>
      </w:pPr>
      <w:r>
        <w:rPr>
          <w:rFonts w:hint="eastAsia" w:ascii="Times New Roman" w:hAnsi="Times New Roman"/>
          <w:sz w:val="24"/>
          <w:szCs w:val="22"/>
        </w:rPr>
        <w:t xml:space="preserve">1 </w:t>
      </w:r>
      <w:r>
        <w:rPr>
          <w:rFonts w:ascii="Times New Roman" w:hAnsi="Times New Roman"/>
          <w:sz w:val="24"/>
          <w:szCs w:val="22"/>
        </w:rPr>
        <w:t>前言</w:t>
      </w:r>
    </w:p>
    <w:p w14:paraId="49FCDC3E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bookmarkStart w:id="0" w:name="OLE_LINK2"/>
      <w:r>
        <w:rPr>
          <w:rFonts w:hint="eastAsia" w:ascii="Times New Roman" w:hAnsi="Times New Roman"/>
          <w:sz w:val="22"/>
          <w:szCs w:val="28"/>
        </w:rPr>
        <w:t>颗粒强度是评价催化剂颗粒物理机械性能的核心指标之一。柱形催化剂广泛应用于石油化工、煤化工、精细化工等领域，其颗粒在工业反应器中承受床层压力、气流冲击以及温度变化等复杂工况。颗粒强度不足的催化剂在运输、装填及使用过程中容易破碎粉化，不仅造成催化剂损耗增加，还可能导致反应器压差升高、下游设备堵塞等严重后果。</w:t>
      </w:r>
    </w:p>
    <w:p w14:paraId="2419A0FA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柱形催化剂与球形催化剂的受力方式不同。柱形催化剂在工业应用中主要承受径向载荷，因此其颗粒强度以径向颗粒强度作为核心评价指标。部分柱形催化剂还需测定轴向颗粒强度，以评估其在反应器中承受上层床层压力的能力。《HG/T 2782-2024 化工催化剂颗粒抗压碎力的测定》明确规定了条形、环形、圆柱形等颗粒化工催化剂的径向颗粒强度测定方法。柱形催化剂为硬质脆性颗粒，受压达到临界压力后直接破碎，适配仪器脆性颗粒-柱形颗粒检测模式。</w:t>
      </w:r>
    </w:p>
    <w:p w14:paraId="06416C05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ascii="Times New Roman" w:hAnsi="Times New Roman"/>
          <w:sz w:val="22"/>
          <w:szCs w:val="28"/>
        </w:rPr>
        <w:t>本方案基于HM-KD颗粒强度测定仪构建标准化检测体系，依据HG/T 2782-2024及GB/T 44750-2024标准，结合柱形催化剂的颗粒特性，详细规定了样品选取、尺寸测量、测定步骤及结果计算方法，确保检测结果准确可靠，满足产品质量控制与合规性评价需求。本方法适用于各类柱形催化剂及催化剂载体的径向</w:t>
      </w:r>
      <w:r>
        <w:rPr>
          <w:rFonts w:hint="eastAsia" w:ascii="Times New Roman" w:hAnsi="Times New Roman"/>
          <w:sz w:val="22"/>
          <w:szCs w:val="28"/>
        </w:rPr>
        <w:t>颗粒强度</w:t>
      </w:r>
      <w:r>
        <w:rPr>
          <w:rFonts w:ascii="Times New Roman" w:hAnsi="Times New Roman"/>
          <w:sz w:val="22"/>
          <w:szCs w:val="28"/>
        </w:rPr>
        <w:t>测定，满足催化剂生产企业质量控制、研发部门工艺优化、用户来料验收及科研机构材料研究等应用场景。</w:t>
      </w:r>
    </w:p>
    <w:bookmarkEnd w:id="0"/>
    <w:p w14:paraId="4F5AFBF8">
      <w:pPr>
        <w:pStyle w:val="5"/>
        <w:spacing w:before="40" w:after="40" w:line="300" w:lineRule="auto"/>
        <w:rPr>
          <w:rFonts w:ascii="Times New Roman" w:hAnsi="Times New Roman"/>
          <w:sz w:val="24"/>
          <w:szCs w:val="22"/>
        </w:rPr>
      </w:pPr>
      <w:r>
        <w:rPr>
          <w:rFonts w:hint="eastAsia" w:ascii="Times New Roman" w:hAnsi="Times New Roman"/>
          <w:sz w:val="24"/>
          <w:szCs w:val="22"/>
        </w:rPr>
        <w:t xml:space="preserve">2 </w:t>
      </w:r>
      <w:r>
        <w:rPr>
          <w:rFonts w:ascii="Times New Roman" w:hAnsi="Times New Roman"/>
          <w:sz w:val="24"/>
          <w:szCs w:val="22"/>
        </w:rPr>
        <w:t>仪器与试剂</w:t>
      </w:r>
    </w:p>
    <w:p w14:paraId="70812A3D">
      <w:pPr>
        <w:spacing w:line="300" w:lineRule="auto"/>
        <w:rPr>
          <w:rFonts w:ascii="Times New Roman" w:hAnsi="Times New Roman"/>
          <w:b/>
          <w:bCs/>
          <w:sz w:val="22"/>
          <w:szCs w:val="28"/>
        </w:rPr>
      </w:pPr>
      <w:r>
        <w:rPr>
          <w:rFonts w:ascii="Times New Roman" w:hAnsi="Times New Roman"/>
          <w:b/>
          <w:bCs/>
          <w:sz w:val="22"/>
          <w:szCs w:val="28"/>
        </w:rPr>
        <w:t>2.1 仪器</w:t>
      </w:r>
    </w:p>
    <w:p w14:paraId="263E5B80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ascii="Times New Roman" w:hAnsi="Times New Roman"/>
          <w:sz w:val="22"/>
          <w:szCs w:val="28"/>
        </w:rPr>
        <w:t>HM-</w:t>
      </w:r>
      <w:r>
        <w:rPr>
          <w:rFonts w:hint="eastAsia" w:ascii="Times New Roman" w:hAnsi="Times New Roman"/>
          <w:sz w:val="22"/>
          <w:szCs w:val="28"/>
        </w:rPr>
        <w:t>KD颗粒强度测定</w:t>
      </w:r>
      <w:r>
        <w:rPr>
          <w:rFonts w:ascii="Times New Roman" w:hAnsi="Times New Roman"/>
          <w:sz w:val="22"/>
          <w:szCs w:val="28"/>
        </w:rPr>
        <w:t>仪</w:t>
      </w:r>
      <w:r>
        <w:rPr>
          <w:rFonts w:hint="eastAsia" w:ascii="Times New Roman" w:hAnsi="Times New Roman"/>
          <w:sz w:val="22"/>
          <w:szCs w:val="28"/>
        </w:rPr>
        <w:t>（全型号通用）；鼓风干燥箱；游标卡尺或电子数显卡尺（精度0.02 mm）；镊子等。</w:t>
      </w:r>
    </w:p>
    <w:p w14:paraId="4149025C">
      <w:pPr>
        <w:spacing w:line="360" w:lineRule="auto"/>
        <w:jc w:val="center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drawing>
          <wp:inline distT="0" distB="0" distL="0" distR="0">
            <wp:extent cx="3014345" cy="1979930"/>
            <wp:effectExtent l="0" t="0" r="0" b="1270"/>
            <wp:docPr id="10739562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956273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39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C5A7E">
      <w:pPr>
        <w:spacing w:line="300" w:lineRule="auto"/>
        <w:jc w:val="center"/>
        <w:rPr>
          <w:rFonts w:ascii="Times New Roman" w:hAnsi="Times New Roman"/>
          <w:sz w:val="22"/>
          <w:szCs w:val="28"/>
        </w:rPr>
      </w:pPr>
      <w:r>
        <w:rPr>
          <w:rFonts w:ascii="Times New Roman" w:hAnsi="Times New Roman"/>
          <w:sz w:val="22"/>
          <w:szCs w:val="28"/>
        </w:rPr>
        <w:t>图1：HM-</w:t>
      </w:r>
      <w:r>
        <w:rPr>
          <w:rFonts w:hint="eastAsia" w:ascii="Times New Roman" w:hAnsi="Times New Roman"/>
          <w:sz w:val="22"/>
          <w:szCs w:val="28"/>
        </w:rPr>
        <w:t>KD颗粒强度测定</w:t>
      </w:r>
      <w:r>
        <w:rPr>
          <w:rFonts w:ascii="Times New Roman" w:hAnsi="Times New Roman"/>
          <w:sz w:val="22"/>
          <w:szCs w:val="28"/>
        </w:rPr>
        <w:t>仪外观图</w:t>
      </w:r>
    </w:p>
    <w:p w14:paraId="0E5849CD">
      <w:pPr>
        <w:spacing w:line="300" w:lineRule="auto"/>
        <w:rPr>
          <w:rFonts w:ascii="Times New Roman" w:hAnsi="Times New Roman"/>
          <w:b/>
          <w:bCs/>
          <w:sz w:val="22"/>
          <w:szCs w:val="28"/>
        </w:rPr>
      </w:pPr>
      <w:r>
        <w:rPr>
          <w:rFonts w:ascii="Times New Roman" w:hAnsi="Times New Roman"/>
          <w:b/>
          <w:bCs/>
          <w:sz w:val="22"/>
          <w:szCs w:val="28"/>
        </w:rPr>
        <w:t xml:space="preserve">2.2 </w:t>
      </w:r>
      <w:r>
        <w:rPr>
          <w:rFonts w:hint="eastAsia" w:ascii="Times New Roman" w:hAnsi="Times New Roman"/>
          <w:b/>
          <w:bCs/>
          <w:sz w:val="22"/>
          <w:szCs w:val="28"/>
        </w:rPr>
        <w:t>耗材与辅助用品</w:t>
      </w:r>
    </w:p>
    <w:p w14:paraId="6C13EF86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催化剂颗粒；无水乙醇</w:t>
      </w:r>
      <w:r>
        <w:rPr>
          <w:rFonts w:ascii="Times New Roman" w:hAnsi="Times New Roman"/>
          <w:sz w:val="22"/>
          <w:szCs w:val="28"/>
        </w:rPr>
        <w:t>（分析纯）</w:t>
      </w:r>
      <w:r>
        <w:rPr>
          <w:rFonts w:hint="eastAsia" w:ascii="Times New Roman" w:hAnsi="Times New Roman"/>
          <w:sz w:val="22"/>
          <w:szCs w:val="28"/>
        </w:rPr>
        <w:t>；无尘软毛刷。</w:t>
      </w:r>
    </w:p>
    <w:p w14:paraId="4470B45D">
      <w:pPr>
        <w:pStyle w:val="5"/>
        <w:spacing w:before="40" w:after="40" w:line="300" w:lineRule="auto"/>
        <w:rPr>
          <w:rFonts w:ascii="Times New Roman" w:hAnsi="Times New Roman"/>
          <w:sz w:val="24"/>
          <w:szCs w:val="22"/>
        </w:rPr>
      </w:pPr>
      <w:r>
        <w:rPr>
          <w:rFonts w:hint="eastAsia" w:ascii="Times New Roman" w:hAnsi="Times New Roman"/>
          <w:sz w:val="24"/>
          <w:szCs w:val="22"/>
        </w:rPr>
        <w:t xml:space="preserve">3 </w:t>
      </w:r>
      <w:r>
        <w:rPr>
          <w:rFonts w:ascii="Times New Roman" w:hAnsi="Times New Roman"/>
          <w:sz w:val="24"/>
          <w:szCs w:val="22"/>
        </w:rPr>
        <w:t>实验方法</w:t>
      </w:r>
    </w:p>
    <w:p w14:paraId="32C437F7">
      <w:pPr>
        <w:spacing w:line="300" w:lineRule="auto"/>
        <w:rPr>
          <w:rFonts w:ascii="Times New Roman" w:hAnsi="Times New Roman"/>
          <w:b/>
          <w:bCs/>
          <w:sz w:val="22"/>
          <w:szCs w:val="28"/>
        </w:rPr>
      </w:pPr>
      <w:r>
        <w:rPr>
          <w:rFonts w:ascii="Times New Roman" w:hAnsi="Times New Roman"/>
          <w:b/>
          <w:bCs/>
          <w:sz w:val="22"/>
          <w:szCs w:val="28"/>
        </w:rPr>
        <w:t>3.1 样品</w:t>
      </w:r>
      <w:r>
        <w:rPr>
          <w:rFonts w:hint="eastAsia" w:ascii="Times New Roman" w:hAnsi="Times New Roman"/>
          <w:b/>
          <w:bCs/>
          <w:sz w:val="22"/>
          <w:szCs w:val="28"/>
        </w:rPr>
        <w:t>准备</w:t>
      </w:r>
    </w:p>
    <w:p w14:paraId="2CA3D2F4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取样</w:t>
      </w:r>
      <w:r>
        <w:rPr>
          <w:rFonts w:ascii="Times New Roman" w:hAnsi="Times New Roman"/>
          <w:sz w:val="22"/>
          <w:szCs w:val="28"/>
        </w:rPr>
        <w:t>：</w:t>
      </w:r>
      <w:r>
        <w:rPr>
          <w:rFonts w:hint="eastAsia" w:ascii="Times New Roman" w:hAnsi="Times New Roman"/>
          <w:sz w:val="22"/>
          <w:szCs w:val="28"/>
        </w:rPr>
        <w:t>按照GB/T 41948《颗粒表征 样品准备》的规定进行取样。从批量产品中随机采集具有代表性的催化剂样品，取样量应足够完成全部测试。</w:t>
      </w:r>
    </w:p>
    <w:p w14:paraId="6B75F145">
      <w:pPr>
        <w:pStyle w:val="14"/>
        <w:spacing w:line="360" w:lineRule="auto"/>
        <w:ind w:left="284" w:firstLine="0" w:firstLineChars="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样品预处理：按照产品标准或企业要求进行必要的（如烘干、筛分）预处理。</w:t>
      </w:r>
    </w:p>
    <w:p w14:paraId="1A8C9841">
      <w:pPr>
        <w:pStyle w:val="14"/>
        <w:spacing w:line="360" w:lineRule="auto"/>
        <w:ind w:left="284" w:firstLine="0" w:firstLineChars="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样品挑选：用镊子从预处理后的样品中随机选取30粒表面无明显缺陷的柱形催化剂颗粒。</w:t>
      </w:r>
    </w:p>
    <w:p w14:paraId="7A045128">
      <w:pPr>
        <w:pStyle w:val="14"/>
        <w:spacing w:line="360" w:lineRule="auto"/>
        <w:ind w:left="284" w:firstLine="0" w:firstLineChars="0"/>
        <w:rPr>
          <w:rFonts w:ascii="Times New Roman" w:hAnsi="Times New Roman"/>
          <w:sz w:val="22"/>
          <w:szCs w:val="28"/>
        </w:rPr>
      </w:pPr>
      <w:r>
        <w:rPr>
          <w:rFonts w:ascii="Times New Roman" w:hAnsi="Times New Roman"/>
          <w:sz w:val="22"/>
          <w:szCs w:val="28"/>
        </w:rPr>
        <w:t>尺寸测量：用游标卡尺测量每</w:t>
      </w:r>
      <w:r>
        <w:rPr>
          <w:rFonts w:hint="eastAsia" w:ascii="Times New Roman" w:hAnsi="Times New Roman"/>
          <w:sz w:val="22"/>
          <w:szCs w:val="28"/>
        </w:rPr>
        <w:t>颗</w:t>
      </w:r>
      <w:r>
        <w:rPr>
          <w:rFonts w:ascii="Times New Roman" w:hAnsi="Times New Roman"/>
          <w:sz w:val="22"/>
          <w:szCs w:val="28"/>
        </w:rPr>
        <w:t>柱形催化剂颗粒的直径和长度。</w:t>
      </w:r>
      <w:r>
        <w:rPr>
          <w:rFonts w:hint="eastAsia" w:ascii="Times New Roman" w:hAnsi="Times New Roman"/>
          <w:sz w:val="22"/>
          <w:szCs w:val="28"/>
        </w:rPr>
        <w:t>选取直径和长度基本一致的样品进行后续测试。</w:t>
      </w:r>
    </w:p>
    <w:p w14:paraId="79AA5BB4">
      <w:pPr>
        <w:spacing w:line="360" w:lineRule="auto"/>
        <w:rPr>
          <w:rFonts w:ascii="Times New Roman" w:hAnsi="Times New Roman"/>
          <w:b/>
          <w:bCs/>
          <w:sz w:val="22"/>
          <w:szCs w:val="28"/>
        </w:rPr>
      </w:pPr>
      <w:r>
        <w:rPr>
          <w:rFonts w:ascii="Times New Roman" w:hAnsi="Times New Roman"/>
          <w:b/>
          <w:bCs/>
          <w:sz w:val="22"/>
          <w:szCs w:val="28"/>
        </w:rPr>
        <w:t>3.</w:t>
      </w:r>
      <w:r>
        <w:rPr>
          <w:rFonts w:hint="eastAsia" w:ascii="Times New Roman" w:hAnsi="Times New Roman"/>
          <w:b/>
          <w:bCs/>
          <w:sz w:val="22"/>
          <w:szCs w:val="28"/>
        </w:rPr>
        <w:t>2</w:t>
      </w:r>
      <w:r>
        <w:rPr>
          <w:rFonts w:ascii="Times New Roman" w:hAnsi="Times New Roman"/>
          <w:b/>
          <w:bCs/>
          <w:sz w:val="22"/>
          <w:szCs w:val="28"/>
        </w:rPr>
        <w:t xml:space="preserve"> </w:t>
      </w:r>
      <w:r>
        <w:rPr>
          <w:rFonts w:hint="eastAsia" w:ascii="Times New Roman" w:hAnsi="Times New Roman"/>
          <w:b/>
          <w:bCs/>
          <w:sz w:val="22"/>
          <w:szCs w:val="28"/>
        </w:rPr>
        <w:t>样品测试步骤</w:t>
      </w:r>
    </w:p>
    <w:p w14:paraId="5CEF2671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开机自检：开启仪器电源，选择颗粒类型（催化剂属于脆性颗粒），仪器自动完成整机自检。</w:t>
      </w:r>
      <w:r>
        <w:rPr>
          <w:rFonts w:ascii="Times New Roman" w:hAnsi="Times New Roman"/>
          <w:sz w:val="22"/>
          <w:szCs w:val="28"/>
        </w:rPr>
        <w:t>压杆自动升降归零，自检完成后</w:t>
      </w:r>
      <w:r>
        <w:rPr>
          <w:rFonts w:hint="eastAsia" w:ascii="Times New Roman" w:hAnsi="Times New Roman"/>
          <w:sz w:val="22"/>
          <w:szCs w:val="28"/>
        </w:rPr>
        <w:t>，</w:t>
      </w:r>
      <w:r>
        <w:rPr>
          <w:rFonts w:ascii="Times New Roman" w:hAnsi="Times New Roman"/>
          <w:sz w:val="22"/>
          <w:szCs w:val="28"/>
        </w:rPr>
        <w:t>界面显示“待检测”</w:t>
      </w:r>
      <w:r>
        <w:rPr>
          <w:rFonts w:hint="eastAsia" w:ascii="Times New Roman" w:hAnsi="Times New Roman"/>
          <w:sz w:val="22"/>
          <w:szCs w:val="28"/>
        </w:rPr>
        <w:t>。</w:t>
      </w:r>
    </w:p>
    <w:p w14:paraId="4FD513B3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模式选择：进入柱形颗粒检测界面，选择接触方式，面接触时（轴向载荷）需输入样品截面积，线接触时（径向载荷）不需输入截面积。</w:t>
      </w:r>
    </w:p>
    <w:p w14:paraId="4512B181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样品放置：用镊子将1颗催化剂颗粒放置于样品托盘。</w:t>
      </w:r>
    </w:p>
    <w:p w14:paraId="7C282877">
      <w:pPr>
        <w:spacing w:line="300" w:lineRule="auto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b/>
          <w:bCs/>
          <w:sz w:val="22"/>
          <w:szCs w:val="28"/>
        </w:rPr>
        <w:t>注：</w:t>
      </w:r>
      <w:r>
        <w:rPr>
          <w:rFonts w:hint="eastAsia" w:ascii="Times New Roman" w:hAnsi="Times New Roman"/>
          <w:sz w:val="22"/>
          <w:szCs w:val="28"/>
        </w:rPr>
        <w:t>催化剂测定径向颗粒强度时，必须水平放置，确保压杆沿颗粒直径方向施压，测定轴向颗粒强度时，必须垂直放置。</w:t>
      </w:r>
    </w:p>
    <w:p w14:paraId="53A79E54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启动测试：点击“开始”进行测试。压杆匀速向下运动，接触样品后实时显示当前压力值。</w:t>
      </w:r>
    </w:p>
    <w:p w14:paraId="0D4CCF4C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数据采集：</w:t>
      </w:r>
      <w:r>
        <w:rPr>
          <w:rFonts w:ascii="Times New Roman" w:hAnsi="Times New Roman"/>
          <w:sz w:val="22"/>
          <w:szCs w:val="28"/>
        </w:rPr>
        <w:t>仪器持续实时采集压力数值，</w:t>
      </w:r>
      <w:r>
        <w:rPr>
          <w:rFonts w:hint="eastAsia" w:ascii="Times New Roman" w:hAnsi="Times New Roman"/>
          <w:sz w:val="22"/>
          <w:szCs w:val="28"/>
        </w:rPr>
        <w:t>催化剂</w:t>
      </w:r>
      <w:r>
        <w:rPr>
          <w:rFonts w:ascii="Times New Roman" w:hAnsi="Times New Roman"/>
          <w:sz w:val="22"/>
          <w:szCs w:val="28"/>
        </w:rPr>
        <w:t>颗粒受压破碎瞬间蜂鸣报警，设备自动记录破碎峰值压力，压杆自动回升至初始位置，单次测试数据自动存入系统</w:t>
      </w:r>
      <w:r>
        <w:rPr>
          <w:rFonts w:hint="eastAsia" w:ascii="Times New Roman" w:hAnsi="Times New Roman"/>
          <w:sz w:val="22"/>
          <w:szCs w:val="28"/>
        </w:rPr>
        <w:t>。</w:t>
      </w:r>
    </w:p>
    <w:p w14:paraId="264CBF1E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清理托盘：单次测试完成后，用毛刷清扫托盘内催化剂碎屑，再进行下一粒测试。</w:t>
      </w:r>
    </w:p>
    <w:p w14:paraId="178D073F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平行测试：每组连续有效测试15粒，中途若颗粒打滑、未破碎触发超压保护，点击“停止”舍弃本次数据，重新检测。</w:t>
      </w:r>
    </w:p>
    <w:p w14:paraId="68FAF6A4">
      <w:pPr>
        <w:spacing w:after="156" w:afterLines="50" w:line="360" w:lineRule="auto"/>
        <w:jc w:val="center"/>
        <w:rPr>
          <w:rFonts w:ascii="Times New Roman" w:hAnsi="Times New Roman"/>
          <w:b/>
          <w:bCs/>
          <w:sz w:val="22"/>
          <w:szCs w:val="28"/>
        </w:rPr>
      </w:pPr>
      <w:r>
        <w:rPr>
          <w:rFonts w:ascii="Times New Roman" w:hAnsi="Times New Roman"/>
          <w:b/>
          <w:bCs/>
          <w:sz w:val="22"/>
          <w:szCs w:val="28"/>
        </w:rPr>
        <w:drawing>
          <wp:inline distT="0" distB="0" distL="0" distR="0">
            <wp:extent cx="5219700" cy="1473835"/>
            <wp:effectExtent l="0" t="0" r="0" b="0"/>
            <wp:docPr id="3255800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80072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47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4E590">
      <w:pPr>
        <w:spacing w:line="300" w:lineRule="auto"/>
        <w:jc w:val="center"/>
        <w:rPr>
          <w:rFonts w:ascii="Times New Roman" w:hAnsi="Times New Roman"/>
          <w:sz w:val="22"/>
          <w:szCs w:val="28"/>
        </w:rPr>
      </w:pPr>
      <w:r>
        <w:rPr>
          <w:rFonts w:ascii="Times New Roman" w:hAnsi="Times New Roman"/>
          <w:sz w:val="22"/>
          <w:szCs w:val="28"/>
        </w:rPr>
        <w:t>图</w:t>
      </w:r>
      <w:r>
        <w:rPr>
          <w:rFonts w:hint="eastAsia" w:ascii="Times New Roman" w:hAnsi="Times New Roman"/>
          <w:sz w:val="22"/>
          <w:szCs w:val="28"/>
        </w:rPr>
        <w:t>2</w:t>
      </w:r>
      <w:r>
        <w:rPr>
          <w:rFonts w:ascii="Times New Roman" w:hAnsi="Times New Roman"/>
          <w:sz w:val="22"/>
          <w:szCs w:val="28"/>
        </w:rPr>
        <w:t>：</w:t>
      </w:r>
      <w:r>
        <w:rPr>
          <w:rFonts w:hint="eastAsia" w:ascii="Times New Roman" w:hAnsi="Times New Roman"/>
          <w:sz w:val="22"/>
          <w:szCs w:val="28"/>
        </w:rPr>
        <w:t>柱形催化剂尺寸测量与烘干</w:t>
      </w:r>
    </w:p>
    <w:p w14:paraId="255D42C2">
      <w:pPr>
        <w:spacing w:line="360" w:lineRule="auto"/>
        <w:rPr>
          <w:rFonts w:ascii="Times New Roman" w:hAnsi="Times New Roman"/>
          <w:b/>
          <w:bCs/>
          <w:sz w:val="22"/>
          <w:szCs w:val="28"/>
        </w:rPr>
      </w:pPr>
      <w:r>
        <w:rPr>
          <w:rFonts w:ascii="Times New Roman" w:hAnsi="Times New Roman"/>
          <w:b/>
          <w:bCs/>
          <w:sz w:val="22"/>
          <w:szCs w:val="28"/>
        </w:rPr>
        <w:t>3.</w:t>
      </w:r>
      <w:r>
        <w:rPr>
          <w:rFonts w:hint="eastAsia" w:ascii="Times New Roman" w:hAnsi="Times New Roman"/>
          <w:b/>
          <w:bCs/>
          <w:sz w:val="22"/>
          <w:szCs w:val="28"/>
        </w:rPr>
        <w:t>3</w:t>
      </w:r>
      <w:r>
        <w:rPr>
          <w:rFonts w:ascii="Times New Roman" w:hAnsi="Times New Roman"/>
          <w:b/>
          <w:bCs/>
          <w:sz w:val="22"/>
          <w:szCs w:val="28"/>
        </w:rPr>
        <w:t xml:space="preserve"> </w:t>
      </w:r>
      <w:r>
        <w:rPr>
          <w:rFonts w:hint="eastAsia" w:ascii="Times New Roman" w:hAnsi="Times New Roman"/>
          <w:b/>
          <w:bCs/>
          <w:sz w:val="22"/>
          <w:szCs w:val="28"/>
        </w:rPr>
        <w:t>仪器操作说明</w:t>
      </w:r>
    </w:p>
    <w:p w14:paraId="05D6DEE7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颗粒类型选择：开机主界面选择“脆性颗粒”。</w:t>
      </w:r>
    </w:p>
    <w:p w14:paraId="1F31EFE7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接触方式选择：径向测定选择“线接触”，轴向测定选择“面接触”。</w:t>
      </w:r>
    </w:p>
    <w:p w14:paraId="10B5B13E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清零：如仪器不显示“0”，点击“清零”按键。</w:t>
      </w:r>
    </w:p>
    <w:p w14:paraId="24EBF7A6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查看数据：点击“查看”进入查看界面，可存储15次测试数据，保存平均值及变异系数。</w:t>
      </w:r>
    </w:p>
    <w:p w14:paraId="0058A3AD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打印：点击“打印”打印本轮测试数据。</w:t>
      </w:r>
    </w:p>
    <w:p w14:paraId="17FC6C72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清空：点击“清空”清空本轮测试数据。</w:t>
      </w:r>
    </w:p>
    <w:p w14:paraId="6C5273B9">
      <w:pPr>
        <w:pStyle w:val="5"/>
        <w:spacing w:before="40" w:after="40" w:line="300" w:lineRule="auto"/>
        <w:rPr>
          <w:rFonts w:ascii="Times New Roman" w:hAnsi="Times New Roman"/>
          <w:sz w:val="24"/>
          <w:szCs w:val="22"/>
        </w:rPr>
      </w:pPr>
      <w:r>
        <w:rPr>
          <w:rFonts w:hint="eastAsia" w:ascii="Times New Roman" w:hAnsi="Times New Roman"/>
          <w:sz w:val="24"/>
          <w:szCs w:val="22"/>
        </w:rPr>
        <w:t xml:space="preserve">4 </w:t>
      </w:r>
      <w:r>
        <w:rPr>
          <w:rFonts w:ascii="Times New Roman" w:hAnsi="Times New Roman"/>
          <w:sz w:val="24"/>
          <w:szCs w:val="22"/>
        </w:rPr>
        <w:t>结果与讨论</w:t>
      </w:r>
    </w:p>
    <w:p w14:paraId="616FE340">
      <w:pPr>
        <w:spacing w:line="300" w:lineRule="auto"/>
        <w:rPr>
          <w:rFonts w:ascii="Times New Roman" w:hAnsi="Times New Roman"/>
          <w:b/>
          <w:bCs/>
          <w:sz w:val="22"/>
          <w:szCs w:val="28"/>
        </w:rPr>
      </w:pPr>
      <w:r>
        <w:rPr>
          <w:rFonts w:ascii="Times New Roman" w:hAnsi="Times New Roman"/>
          <w:b/>
          <w:bCs/>
          <w:sz w:val="22"/>
          <w:szCs w:val="28"/>
        </w:rPr>
        <w:t xml:space="preserve">4.1 </w:t>
      </w:r>
      <w:r>
        <w:rPr>
          <w:rFonts w:hint="eastAsia" w:ascii="Times New Roman" w:hAnsi="Times New Roman"/>
          <w:b/>
          <w:bCs/>
          <w:sz w:val="22"/>
          <w:szCs w:val="28"/>
        </w:rPr>
        <w:t>结果统计</w:t>
      </w:r>
    </w:p>
    <w:p w14:paraId="22EF6305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仪器自动存储15组单粒颗粒破碎压力值，自动计算：</w:t>
      </w:r>
    </w:p>
    <w:p w14:paraId="30C0D61F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单粒颗粒强度：破碎瞬间最大压力，单位N；</w:t>
      </w:r>
    </w:p>
    <w:p w14:paraId="3A5D3D9F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批次平均颗粒强度：15组数据算术平均值，单位N；</w:t>
      </w:r>
    </w:p>
    <w:p w14:paraId="33CE8F24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变异系数C</w:t>
      </w:r>
      <w:r>
        <w:rPr>
          <w:rFonts w:hint="eastAsia" w:ascii="Times New Roman" w:hAnsi="Times New Roman"/>
          <w:i/>
          <w:iCs/>
          <w:sz w:val="22"/>
          <w:szCs w:val="28"/>
        </w:rPr>
        <w:t>v</w:t>
      </w:r>
      <w:r>
        <w:rPr>
          <w:rFonts w:hint="eastAsia" w:ascii="Times New Roman" w:hAnsi="Times New Roman"/>
          <w:sz w:val="22"/>
          <w:szCs w:val="28"/>
        </w:rPr>
        <w:t>：反应尿素颗粒强度均匀性，用于评价造粒工艺稳定性。</w:t>
      </w:r>
    </w:p>
    <w:p w14:paraId="432931C0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无需额外换算公式，直接以仪器输出平均压力作为最终检测结果。</w:t>
      </w:r>
    </w:p>
    <w:p w14:paraId="73F6ABB1">
      <w:pPr>
        <w:spacing w:line="300" w:lineRule="auto"/>
        <w:rPr>
          <w:rFonts w:ascii="Times New Roman" w:hAnsi="Times New Roman"/>
          <w:b/>
          <w:bCs/>
          <w:sz w:val="22"/>
          <w:szCs w:val="28"/>
        </w:rPr>
      </w:pPr>
      <w:r>
        <w:rPr>
          <w:rFonts w:ascii="Times New Roman" w:hAnsi="Times New Roman"/>
          <w:b/>
          <w:bCs/>
          <w:sz w:val="22"/>
          <w:szCs w:val="28"/>
        </w:rPr>
        <w:t>4.</w:t>
      </w:r>
      <w:r>
        <w:rPr>
          <w:rFonts w:hint="eastAsia" w:ascii="Times New Roman" w:hAnsi="Times New Roman"/>
          <w:b/>
          <w:bCs/>
          <w:sz w:val="22"/>
          <w:szCs w:val="28"/>
        </w:rPr>
        <w:t>2</w:t>
      </w:r>
      <w:r>
        <w:rPr>
          <w:rFonts w:ascii="Times New Roman" w:hAnsi="Times New Roman"/>
          <w:b/>
          <w:bCs/>
          <w:sz w:val="22"/>
          <w:szCs w:val="28"/>
        </w:rPr>
        <w:t xml:space="preserve"> </w:t>
      </w:r>
      <w:r>
        <w:rPr>
          <w:rFonts w:hint="eastAsia" w:ascii="Times New Roman" w:hAnsi="Times New Roman"/>
          <w:b/>
          <w:bCs/>
          <w:sz w:val="22"/>
          <w:szCs w:val="28"/>
        </w:rPr>
        <w:t>测试结果</w:t>
      </w:r>
    </w:p>
    <w:p w14:paraId="306EA27F">
      <w:pPr>
        <w:spacing w:line="300" w:lineRule="auto"/>
        <w:ind w:firstLine="42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以面接触为例：</w:t>
      </w:r>
    </w:p>
    <w:tbl>
      <w:tblPr>
        <w:tblStyle w:val="9"/>
        <w:tblW w:w="46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4"/>
        <w:gridCol w:w="1844"/>
        <w:gridCol w:w="1419"/>
        <w:gridCol w:w="2126"/>
        <w:gridCol w:w="1794"/>
      </w:tblGrid>
      <w:tr w14:paraId="077EA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  <w:tblHeader/>
          <w:jc w:val="center"/>
        </w:trPr>
        <w:tc>
          <w:tcPr>
            <w:tcW w:w="803" w:type="pct"/>
            <w:vAlign w:val="center"/>
          </w:tcPr>
          <w:p w14:paraId="77FE2F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样品</w:t>
            </w:r>
            <w:r>
              <w:rPr>
                <w:rFonts w:hint="eastAsia" w:ascii="Times New Roman" w:hAnsi="Times New Roman"/>
              </w:rPr>
              <w:t>编号</w:t>
            </w:r>
          </w:p>
        </w:tc>
        <w:tc>
          <w:tcPr>
            <w:tcW w:w="1077" w:type="pct"/>
            <w:vAlign w:val="center"/>
          </w:tcPr>
          <w:p w14:paraId="7381BB7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直径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hint="eastAsia" w:ascii="Times New Roman" w:hAnsi="Times New Roman"/>
              </w:rPr>
              <w:t>长度（mm）</w:t>
            </w:r>
          </w:p>
        </w:tc>
        <w:tc>
          <w:tcPr>
            <w:tcW w:w="829" w:type="pct"/>
            <w:vAlign w:val="center"/>
          </w:tcPr>
          <w:p w14:paraId="5301301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测试粒数</w:t>
            </w:r>
          </w:p>
        </w:tc>
        <w:tc>
          <w:tcPr>
            <w:tcW w:w="1242" w:type="pct"/>
            <w:vAlign w:val="center"/>
          </w:tcPr>
          <w:p w14:paraId="6F9E282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平均抗压强度（N）</w:t>
            </w:r>
          </w:p>
        </w:tc>
        <w:tc>
          <w:tcPr>
            <w:tcW w:w="1048" w:type="pct"/>
            <w:vAlign w:val="center"/>
          </w:tcPr>
          <w:p w14:paraId="5E33E25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变异系数（C</w:t>
            </w:r>
            <w:r>
              <w:rPr>
                <w:rFonts w:hint="eastAsia" w:ascii="Times New Roman" w:hAnsi="Times New Roman"/>
                <w:i/>
                <w:iCs/>
              </w:rPr>
              <w:t>v</w:t>
            </w:r>
            <w:r>
              <w:rPr>
                <w:rFonts w:hint="eastAsia" w:ascii="Times New Roman" w:hAnsi="Times New Roman"/>
              </w:rPr>
              <w:t>）</w:t>
            </w:r>
          </w:p>
        </w:tc>
      </w:tr>
      <w:tr w14:paraId="3DE28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tblHeader/>
          <w:jc w:val="center"/>
        </w:trPr>
        <w:tc>
          <w:tcPr>
            <w:tcW w:w="803" w:type="pct"/>
            <w:vAlign w:val="center"/>
          </w:tcPr>
          <w:p w14:paraId="20F2842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催化剂1-1</w:t>
            </w:r>
          </w:p>
        </w:tc>
        <w:tc>
          <w:tcPr>
            <w:tcW w:w="1077" w:type="pct"/>
            <w:vAlign w:val="center"/>
          </w:tcPr>
          <w:p w14:paraId="2E4C86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Φ3.</w:t>
            </w:r>
            <w:r>
              <w:rPr>
                <w:rFonts w:hint="eastAsia" w:ascii="Times New Roman" w:hAnsi="Times New Roman"/>
              </w:rPr>
              <w:t xml:space="preserve">85 </w:t>
            </w:r>
            <w:r>
              <w:rPr>
                <w:rFonts w:ascii="Times New Roman" w:hAnsi="Times New Roman"/>
              </w:rPr>
              <w:t>×</w:t>
            </w:r>
            <w:r>
              <w:rPr>
                <w:rFonts w:hint="eastAsia" w:ascii="Times New Roman" w:hAnsi="Times New Roman"/>
              </w:rPr>
              <w:t xml:space="preserve"> 6 </w:t>
            </w:r>
            <w:r>
              <w:rPr>
                <w:rFonts w:ascii="Times New Roman" w:hAnsi="Times New Roman"/>
              </w:rPr>
              <w:t>~</w:t>
            </w:r>
            <w:r>
              <w:rPr>
                <w:rFonts w:hint="eastAsia" w:ascii="Times New Roman" w:hAnsi="Times New Roman"/>
              </w:rPr>
              <w:t xml:space="preserve"> 7</w:t>
            </w:r>
          </w:p>
        </w:tc>
        <w:tc>
          <w:tcPr>
            <w:tcW w:w="829" w:type="pct"/>
            <w:vAlign w:val="center"/>
          </w:tcPr>
          <w:p w14:paraId="48D6D14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15</w:t>
            </w:r>
          </w:p>
        </w:tc>
        <w:tc>
          <w:tcPr>
            <w:tcW w:w="1242" w:type="pct"/>
            <w:vAlign w:val="center"/>
          </w:tcPr>
          <w:p w14:paraId="74270FA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2.87</w:t>
            </w:r>
          </w:p>
        </w:tc>
        <w:tc>
          <w:tcPr>
            <w:tcW w:w="1048" w:type="pct"/>
            <w:vAlign w:val="center"/>
          </w:tcPr>
          <w:p w14:paraId="6974B8C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0.23</w:t>
            </w:r>
          </w:p>
        </w:tc>
      </w:tr>
      <w:tr w14:paraId="0D5A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tblHeader/>
          <w:jc w:val="center"/>
        </w:trPr>
        <w:tc>
          <w:tcPr>
            <w:tcW w:w="803" w:type="pct"/>
            <w:vAlign w:val="center"/>
          </w:tcPr>
          <w:p w14:paraId="36EC38F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催化剂1-2</w:t>
            </w:r>
          </w:p>
        </w:tc>
        <w:tc>
          <w:tcPr>
            <w:tcW w:w="1077" w:type="pct"/>
            <w:vAlign w:val="center"/>
          </w:tcPr>
          <w:p w14:paraId="5C12D6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Φ3.</w:t>
            </w:r>
            <w:r>
              <w:rPr>
                <w:rFonts w:hint="eastAsia" w:ascii="Times New Roman" w:hAnsi="Times New Roman"/>
              </w:rPr>
              <w:t xml:space="preserve">85 </w:t>
            </w:r>
            <w:r>
              <w:rPr>
                <w:rFonts w:ascii="Times New Roman" w:hAnsi="Times New Roman"/>
              </w:rPr>
              <w:t>×</w:t>
            </w:r>
            <w:r>
              <w:rPr>
                <w:rFonts w:hint="eastAsia" w:ascii="Times New Roman" w:hAnsi="Times New Roman"/>
              </w:rPr>
              <w:t xml:space="preserve"> 6 </w:t>
            </w:r>
            <w:r>
              <w:rPr>
                <w:rFonts w:ascii="Times New Roman" w:hAnsi="Times New Roman"/>
              </w:rPr>
              <w:t>~</w:t>
            </w:r>
            <w:r>
              <w:rPr>
                <w:rFonts w:hint="eastAsia" w:ascii="Times New Roman" w:hAnsi="Times New Roman"/>
              </w:rPr>
              <w:t xml:space="preserve"> 7</w:t>
            </w:r>
          </w:p>
        </w:tc>
        <w:tc>
          <w:tcPr>
            <w:tcW w:w="829" w:type="pct"/>
            <w:vAlign w:val="center"/>
          </w:tcPr>
          <w:p w14:paraId="59BDE20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15</w:t>
            </w:r>
          </w:p>
        </w:tc>
        <w:tc>
          <w:tcPr>
            <w:tcW w:w="1242" w:type="pct"/>
            <w:vAlign w:val="center"/>
          </w:tcPr>
          <w:p w14:paraId="6495C5B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2.73</w:t>
            </w:r>
          </w:p>
        </w:tc>
        <w:tc>
          <w:tcPr>
            <w:tcW w:w="1048" w:type="pct"/>
            <w:vAlign w:val="center"/>
          </w:tcPr>
          <w:p w14:paraId="23B5B7D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0.25</w:t>
            </w:r>
          </w:p>
        </w:tc>
      </w:tr>
      <w:tr w14:paraId="4FF97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tblHeader/>
          <w:jc w:val="center"/>
        </w:trPr>
        <w:tc>
          <w:tcPr>
            <w:tcW w:w="803" w:type="pct"/>
            <w:vAlign w:val="center"/>
          </w:tcPr>
          <w:p w14:paraId="7E87D85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催化剂2-1</w:t>
            </w:r>
          </w:p>
        </w:tc>
        <w:tc>
          <w:tcPr>
            <w:tcW w:w="1077" w:type="pct"/>
            <w:vAlign w:val="center"/>
          </w:tcPr>
          <w:p w14:paraId="3C82F0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Φ</w:t>
            </w:r>
            <w:r>
              <w:rPr>
                <w:rFonts w:hint="eastAsia" w:ascii="Times New Roman" w:hAnsi="Times New Roman"/>
              </w:rPr>
              <w:t xml:space="preserve">5.0 </w:t>
            </w:r>
            <w:r>
              <w:rPr>
                <w:rFonts w:ascii="Times New Roman" w:hAnsi="Times New Roman"/>
              </w:rPr>
              <w:t>×</w:t>
            </w:r>
            <w:r>
              <w:rPr>
                <w:rFonts w:hint="eastAsia" w:ascii="Times New Roman" w:hAnsi="Times New Roman"/>
              </w:rPr>
              <w:t xml:space="preserve"> 6 </w:t>
            </w:r>
            <w:r>
              <w:rPr>
                <w:rFonts w:ascii="Times New Roman" w:hAnsi="Times New Roman"/>
              </w:rPr>
              <w:t>~</w:t>
            </w:r>
            <w:r>
              <w:rPr>
                <w:rFonts w:hint="eastAsia" w:ascii="Times New Roman" w:hAnsi="Times New Roman"/>
              </w:rPr>
              <w:t xml:space="preserve"> 7</w:t>
            </w:r>
          </w:p>
        </w:tc>
        <w:tc>
          <w:tcPr>
            <w:tcW w:w="829" w:type="pct"/>
            <w:vAlign w:val="center"/>
          </w:tcPr>
          <w:p w14:paraId="0654EE9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15</w:t>
            </w:r>
          </w:p>
        </w:tc>
        <w:tc>
          <w:tcPr>
            <w:tcW w:w="1242" w:type="pct"/>
            <w:vAlign w:val="center"/>
          </w:tcPr>
          <w:p w14:paraId="03518B2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2.9</w:t>
            </w:r>
          </w:p>
        </w:tc>
        <w:tc>
          <w:tcPr>
            <w:tcW w:w="1048" w:type="pct"/>
            <w:vAlign w:val="center"/>
          </w:tcPr>
          <w:p w14:paraId="6A54BD9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0.42</w:t>
            </w:r>
          </w:p>
        </w:tc>
      </w:tr>
      <w:tr w14:paraId="154CD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tblHeader/>
          <w:jc w:val="center"/>
        </w:trPr>
        <w:tc>
          <w:tcPr>
            <w:tcW w:w="803" w:type="pct"/>
            <w:vAlign w:val="center"/>
          </w:tcPr>
          <w:p w14:paraId="427C208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催化剂2-2</w:t>
            </w:r>
          </w:p>
        </w:tc>
        <w:tc>
          <w:tcPr>
            <w:tcW w:w="1077" w:type="pct"/>
            <w:vAlign w:val="center"/>
          </w:tcPr>
          <w:p w14:paraId="2EF8FC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Φ</w:t>
            </w:r>
            <w:r>
              <w:rPr>
                <w:rFonts w:hint="eastAsia" w:ascii="Times New Roman" w:hAnsi="Times New Roman"/>
              </w:rPr>
              <w:t xml:space="preserve">5.0 </w:t>
            </w:r>
            <w:r>
              <w:rPr>
                <w:rFonts w:ascii="Times New Roman" w:hAnsi="Times New Roman"/>
              </w:rPr>
              <w:t>×</w:t>
            </w:r>
            <w:r>
              <w:rPr>
                <w:rFonts w:hint="eastAsia" w:ascii="Times New Roman" w:hAnsi="Times New Roman"/>
              </w:rPr>
              <w:t xml:space="preserve"> 6 </w:t>
            </w:r>
            <w:r>
              <w:rPr>
                <w:rFonts w:ascii="Times New Roman" w:hAnsi="Times New Roman"/>
              </w:rPr>
              <w:t>~</w:t>
            </w:r>
            <w:r>
              <w:rPr>
                <w:rFonts w:hint="eastAsia" w:ascii="Times New Roman" w:hAnsi="Times New Roman"/>
              </w:rPr>
              <w:t xml:space="preserve"> 7</w:t>
            </w:r>
          </w:p>
        </w:tc>
        <w:tc>
          <w:tcPr>
            <w:tcW w:w="829" w:type="pct"/>
            <w:vAlign w:val="center"/>
          </w:tcPr>
          <w:p w14:paraId="2101D7E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15</w:t>
            </w:r>
          </w:p>
        </w:tc>
        <w:tc>
          <w:tcPr>
            <w:tcW w:w="1242" w:type="pct"/>
            <w:vAlign w:val="center"/>
          </w:tcPr>
          <w:p w14:paraId="5EC3AF9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3.29</w:t>
            </w:r>
          </w:p>
        </w:tc>
        <w:tc>
          <w:tcPr>
            <w:tcW w:w="1048" w:type="pct"/>
            <w:vAlign w:val="center"/>
          </w:tcPr>
          <w:p w14:paraId="1433764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0.37</w:t>
            </w:r>
          </w:p>
        </w:tc>
      </w:tr>
    </w:tbl>
    <w:p w14:paraId="440255B4">
      <w:pPr>
        <w:spacing w:line="300" w:lineRule="auto"/>
        <w:jc w:val="center"/>
        <w:rPr>
          <w:rFonts w:ascii="Times New Roman" w:hAnsi="Times New Roman"/>
          <w:b/>
          <w:bCs/>
          <w:sz w:val="22"/>
          <w:szCs w:val="28"/>
        </w:rPr>
      </w:pPr>
      <w:r>
        <w:rPr>
          <w:rFonts w:ascii="Times New Roman" w:hAnsi="Times New Roman"/>
          <w:b/>
          <w:bCs/>
          <w:sz w:val="22"/>
          <w:szCs w:val="28"/>
        </w:rPr>
        <w:drawing>
          <wp:inline distT="0" distB="0" distL="0" distR="0">
            <wp:extent cx="5399405" cy="1891030"/>
            <wp:effectExtent l="0" t="0" r="0" b="0"/>
            <wp:docPr id="125078340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78340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8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0ECF8">
      <w:pPr>
        <w:spacing w:line="300" w:lineRule="auto"/>
        <w:jc w:val="center"/>
        <w:rPr>
          <w:rFonts w:ascii="Times New Roman" w:hAnsi="Times New Roman"/>
          <w:b/>
          <w:bCs/>
          <w:sz w:val="22"/>
          <w:szCs w:val="28"/>
        </w:rPr>
      </w:pPr>
      <w:r>
        <w:rPr>
          <w:rFonts w:ascii="Times New Roman" w:hAnsi="Times New Roman"/>
          <w:sz w:val="22"/>
          <w:szCs w:val="28"/>
        </w:rPr>
        <w:t>图</w:t>
      </w:r>
      <w:r>
        <w:rPr>
          <w:rFonts w:hint="eastAsia" w:ascii="Times New Roman" w:hAnsi="Times New Roman"/>
          <w:sz w:val="22"/>
          <w:szCs w:val="28"/>
        </w:rPr>
        <w:t>3</w:t>
      </w:r>
      <w:r>
        <w:rPr>
          <w:rFonts w:ascii="Times New Roman" w:hAnsi="Times New Roman"/>
          <w:sz w:val="22"/>
          <w:szCs w:val="28"/>
        </w:rPr>
        <w:t>：</w:t>
      </w:r>
      <w:r>
        <w:rPr>
          <w:rFonts w:hint="eastAsia" w:ascii="Times New Roman" w:hAnsi="Times New Roman"/>
          <w:sz w:val="22"/>
          <w:szCs w:val="28"/>
        </w:rPr>
        <w:t>样品测试过程与数据图</w:t>
      </w:r>
    </w:p>
    <w:p w14:paraId="759101A6">
      <w:pPr>
        <w:spacing w:line="300" w:lineRule="auto"/>
        <w:rPr>
          <w:rFonts w:ascii="Times New Roman" w:hAnsi="Times New Roman"/>
          <w:b/>
          <w:bCs/>
          <w:sz w:val="22"/>
          <w:szCs w:val="28"/>
        </w:rPr>
      </w:pPr>
      <w:r>
        <w:rPr>
          <w:rFonts w:ascii="Times New Roman" w:hAnsi="Times New Roman"/>
          <w:b/>
          <w:bCs/>
          <w:sz w:val="22"/>
          <w:szCs w:val="28"/>
        </w:rPr>
        <w:t>4.</w:t>
      </w:r>
      <w:r>
        <w:rPr>
          <w:rFonts w:hint="eastAsia" w:ascii="Times New Roman" w:hAnsi="Times New Roman"/>
          <w:b/>
          <w:bCs/>
          <w:sz w:val="22"/>
          <w:szCs w:val="28"/>
        </w:rPr>
        <w:t>3</w:t>
      </w:r>
      <w:r>
        <w:rPr>
          <w:rFonts w:ascii="Times New Roman" w:hAnsi="Times New Roman"/>
          <w:b/>
          <w:bCs/>
          <w:sz w:val="22"/>
          <w:szCs w:val="28"/>
        </w:rPr>
        <w:t xml:space="preserve"> 精密度</w:t>
      </w:r>
    </w:p>
    <w:p w14:paraId="56F944D9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变异系数越小，说明颗粒均匀性越好</w:t>
      </w:r>
      <w:r>
        <w:rPr>
          <w:rFonts w:ascii="Times New Roman" w:hAnsi="Times New Roman"/>
          <w:sz w:val="22"/>
          <w:szCs w:val="28"/>
        </w:rPr>
        <w:t>。</w:t>
      </w:r>
      <w:r>
        <w:rPr>
          <w:rFonts w:hint="eastAsia" w:ascii="Times New Roman" w:hAnsi="Times New Roman"/>
          <w:sz w:val="22"/>
          <w:szCs w:val="28"/>
        </w:rPr>
        <w:t>颗粒的形状、尺寸及制备工艺的一致性会影响颗粒强度结果。</w:t>
      </w:r>
    </w:p>
    <w:p w14:paraId="33D3294D">
      <w:pPr>
        <w:pStyle w:val="5"/>
        <w:spacing w:before="40" w:after="40" w:line="300" w:lineRule="auto"/>
        <w:rPr>
          <w:rFonts w:ascii="Times New Roman" w:hAnsi="Times New Roman"/>
          <w:sz w:val="24"/>
          <w:szCs w:val="22"/>
        </w:rPr>
      </w:pPr>
      <w:r>
        <w:rPr>
          <w:rFonts w:hint="eastAsia" w:ascii="Times New Roman" w:hAnsi="Times New Roman"/>
          <w:sz w:val="24"/>
          <w:szCs w:val="22"/>
        </w:rPr>
        <w:t xml:space="preserve">5 </w:t>
      </w:r>
      <w:r>
        <w:rPr>
          <w:rFonts w:ascii="Times New Roman" w:hAnsi="Times New Roman"/>
          <w:sz w:val="24"/>
          <w:szCs w:val="22"/>
        </w:rPr>
        <w:t>方案特点与优势</w:t>
      </w:r>
    </w:p>
    <w:p w14:paraId="46E43B1A">
      <w:pPr>
        <w:spacing w:line="300" w:lineRule="auto"/>
        <w:rPr>
          <w:rFonts w:ascii="Times New Roman" w:hAnsi="Times New Roman"/>
          <w:b/>
          <w:bCs/>
          <w:sz w:val="22"/>
          <w:szCs w:val="28"/>
        </w:rPr>
      </w:pPr>
      <w:r>
        <w:rPr>
          <w:rFonts w:hint="eastAsia" w:ascii="Times New Roman" w:hAnsi="Times New Roman"/>
          <w:b/>
          <w:bCs/>
          <w:sz w:val="22"/>
          <w:szCs w:val="28"/>
        </w:rPr>
        <w:t>5</w:t>
      </w:r>
      <w:r>
        <w:rPr>
          <w:rFonts w:ascii="Times New Roman" w:hAnsi="Times New Roman"/>
          <w:b/>
          <w:bCs/>
          <w:sz w:val="22"/>
          <w:szCs w:val="28"/>
        </w:rPr>
        <w:t>.1 HM-</w:t>
      </w:r>
      <w:r>
        <w:rPr>
          <w:rFonts w:hint="eastAsia" w:ascii="Times New Roman" w:hAnsi="Times New Roman"/>
          <w:b/>
          <w:bCs/>
          <w:sz w:val="22"/>
          <w:szCs w:val="28"/>
        </w:rPr>
        <w:t>KD颗粒强度测定仪</w:t>
      </w:r>
      <w:r>
        <w:rPr>
          <w:rFonts w:ascii="Times New Roman" w:hAnsi="Times New Roman"/>
          <w:b/>
          <w:bCs/>
          <w:sz w:val="22"/>
          <w:szCs w:val="28"/>
        </w:rPr>
        <w:t>优势</w:t>
      </w:r>
    </w:p>
    <w:p w14:paraId="30A14005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全型号适用</w:t>
      </w:r>
      <w:r>
        <w:rPr>
          <w:rFonts w:ascii="Times New Roman" w:hAnsi="Times New Roman"/>
          <w:sz w:val="22"/>
          <w:szCs w:val="28"/>
        </w:rPr>
        <w:t>：</w:t>
      </w:r>
      <w:r>
        <w:rPr>
          <w:rFonts w:hint="eastAsia" w:ascii="Times New Roman" w:hAnsi="Times New Roman"/>
          <w:sz w:val="22"/>
          <w:szCs w:val="28"/>
        </w:rPr>
        <w:t>KD1-KD3均可执行本方案，操作方法一致。</w:t>
      </w:r>
    </w:p>
    <w:p w14:paraId="75651D2D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形状适配性强：本方案适配圆柱形、条形、环形等多种柱形催化剂颗粒的颗粒强度测定。</w:t>
      </w:r>
    </w:p>
    <w:p w14:paraId="0DABC81D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操作简便：触摸交互界面，参数一键设定，自动计算并支持打印。</w:t>
      </w:r>
    </w:p>
    <w:p w14:paraId="17AD9633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自动化程度高</w:t>
      </w:r>
      <w:r>
        <w:rPr>
          <w:rFonts w:ascii="Times New Roman" w:hAnsi="Times New Roman"/>
          <w:sz w:val="22"/>
          <w:szCs w:val="28"/>
        </w:rPr>
        <w:t>：</w:t>
      </w:r>
      <w:r>
        <w:rPr>
          <w:rFonts w:hint="eastAsia" w:ascii="Times New Roman" w:hAnsi="Times New Roman"/>
          <w:sz w:val="22"/>
          <w:szCs w:val="28"/>
        </w:rPr>
        <w:t>设有自动超压保护装置，防止超大硬度颗粒损伤传感器。</w:t>
      </w:r>
    </w:p>
    <w:p w14:paraId="6743FA68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高分辨率：</w:t>
      </w:r>
      <w:r>
        <w:rPr>
          <w:rFonts w:ascii="Times New Roman" w:hAnsi="Times New Roman"/>
          <w:sz w:val="22"/>
          <w:szCs w:val="28"/>
        </w:rPr>
        <w:t>0.01N高分辨率，精准区分不同造粒工艺</w:t>
      </w:r>
      <w:r>
        <w:rPr>
          <w:rFonts w:hint="eastAsia" w:ascii="Times New Roman" w:hAnsi="Times New Roman"/>
          <w:sz w:val="22"/>
          <w:szCs w:val="28"/>
        </w:rPr>
        <w:t>催化剂</w:t>
      </w:r>
      <w:r>
        <w:rPr>
          <w:rFonts w:ascii="Times New Roman" w:hAnsi="Times New Roman"/>
          <w:sz w:val="22"/>
          <w:szCs w:val="28"/>
        </w:rPr>
        <w:t>强度微小差异，便于工艺优化</w:t>
      </w:r>
      <w:r>
        <w:rPr>
          <w:rFonts w:hint="eastAsia" w:ascii="Times New Roman" w:hAnsi="Times New Roman"/>
          <w:sz w:val="22"/>
          <w:szCs w:val="28"/>
        </w:rPr>
        <w:t>。</w:t>
      </w:r>
    </w:p>
    <w:p w14:paraId="307249B1">
      <w:pPr>
        <w:spacing w:line="300" w:lineRule="auto"/>
        <w:rPr>
          <w:rFonts w:ascii="Times New Roman" w:hAnsi="Times New Roman"/>
          <w:b/>
          <w:bCs/>
          <w:sz w:val="22"/>
          <w:szCs w:val="28"/>
        </w:rPr>
      </w:pPr>
      <w:r>
        <w:rPr>
          <w:rFonts w:hint="eastAsia" w:ascii="Times New Roman" w:hAnsi="Times New Roman"/>
          <w:b/>
          <w:bCs/>
          <w:sz w:val="22"/>
          <w:szCs w:val="28"/>
        </w:rPr>
        <w:t>5</w:t>
      </w:r>
      <w:r>
        <w:rPr>
          <w:rFonts w:ascii="Times New Roman" w:hAnsi="Times New Roman"/>
          <w:b/>
          <w:bCs/>
          <w:sz w:val="22"/>
          <w:szCs w:val="28"/>
        </w:rPr>
        <w:t>.2 方案适用性</w:t>
      </w:r>
    </w:p>
    <w:p w14:paraId="2B81C84B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ascii="Times New Roman" w:hAnsi="Times New Roman"/>
          <w:sz w:val="22"/>
          <w:szCs w:val="28"/>
        </w:rPr>
        <w:t>样品类型：圆柱形催化剂、条形催化剂、环形催化剂、蜂窝煤形催化剂、分子筛等</w:t>
      </w:r>
      <w:r>
        <w:rPr>
          <w:rFonts w:hint="eastAsia" w:ascii="Times New Roman" w:hAnsi="Times New Roman"/>
          <w:sz w:val="22"/>
          <w:szCs w:val="28"/>
        </w:rPr>
        <w:t>。</w:t>
      </w:r>
    </w:p>
    <w:p w14:paraId="2CEDB98B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ascii="Times New Roman" w:hAnsi="Times New Roman"/>
          <w:sz w:val="22"/>
          <w:szCs w:val="28"/>
        </w:rPr>
        <w:t>检测范围：</w:t>
      </w:r>
      <w:r>
        <w:rPr>
          <w:rFonts w:hint="eastAsia" w:ascii="Times New Roman" w:hAnsi="Times New Roman"/>
          <w:sz w:val="22"/>
          <w:szCs w:val="28"/>
        </w:rPr>
        <w:t>颗粒直径0.2 ~ 25 mm、0.5 ~ 25 mm。</w:t>
      </w:r>
    </w:p>
    <w:p w14:paraId="36F3CA3C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高效稳定：单个样品检测时间短，重复性好，满足批量检测需求。</w:t>
      </w:r>
    </w:p>
    <w:p w14:paraId="41A2373D">
      <w:pPr>
        <w:spacing w:line="300" w:lineRule="auto"/>
        <w:rPr>
          <w:rFonts w:ascii="Times New Roman" w:hAnsi="Times New Roman"/>
          <w:b/>
          <w:bCs/>
          <w:sz w:val="22"/>
          <w:szCs w:val="28"/>
        </w:rPr>
      </w:pPr>
      <w:r>
        <w:rPr>
          <w:rFonts w:hint="eastAsia" w:ascii="Times New Roman" w:hAnsi="Times New Roman"/>
          <w:b/>
          <w:bCs/>
          <w:sz w:val="22"/>
          <w:szCs w:val="28"/>
        </w:rPr>
        <w:t>5</w:t>
      </w:r>
      <w:r>
        <w:rPr>
          <w:rFonts w:ascii="Times New Roman" w:hAnsi="Times New Roman"/>
          <w:b/>
          <w:bCs/>
          <w:sz w:val="22"/>
          <w:szCs w:val="28"/>
        </w:rPr>
        <w:t>.3 质量控制要点</w:t>
      </w:r>
    </w:p>
    <w:p w14:paraId="072DF807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ascii="Times New Roman" w:hAnsi="Times New Roman"/>
          <w:sz w:val="22"/>
          <w:szCs w:val="28"/>
        </w:rPr>
        <w:t>环境要求：</w:t>
      </w:r>
      <w:r>
        <w:rPr>
          <w:rFonts w:hint="eastAsia" w:ascii="Times New Roman" w:hAnsi="Times New Roman"/>
          <w:sz w:val="22"/>
          <w:szCs w:val="28"/>
        </w:rPr>
        <w:t>工作环境温度10 ~ 30℃，相对湿度</w:t>
      </w:r>
      <w:r>
        <w:rPr>
          <w:rFonts w:ascii="Times New Roman" w:hAnsi="Times New Roman" w:cs="Times New Roman"/>
          <w:sz w:val="22"/>
          <w:szCs w:val="28"/>
        </w:rPr>
        <w:t>≤</w:t>
      </w:r>
      <w:r>
        <w:rPr>
          <w:rFonts w:hint="eastAsia" w:ascii="Times New Roman" w:hAnsi="Times New Roman" w:cs="Times New Roman"/>
          <w:sz w:val="22"/>
          <w:szCs w:val="28"/>
        </w:rPr>
        <w:t xml:space="preserve"> </w:t>
      </w:r>
      <w:r>
        <w:rPr>
          <w:rFonts w:hint="eastAsia" w:ascii="Times New Roman" w:hAnsi="Times New Roman"/>
          <w:sz w:val="22"/>
          <w:szCs w:val="28"/>
        </w:rPr>
        <w:t>70%的条件下使用。</w:t>
      </w:r>
    </w:p>
    <w:p w14:paraId="025A47F7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样品代表性：确保选取的颗粒具有代表性，能真实反映该批次样品的整体质量状况。</w:t>
      </w:r>
    </w:p>
    <w:p w14:paraId="33C25B54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尺寸测量准确：柱形催化剂需准确测量直径和长度，确保数据可追溯。</w:t>
      </w:r>
    </w:p>
    <w:p w14:paraId="0990E85B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放置规范</w:t>
      </w:r>
      <w:r>
        <w:rPr>
          <w:rFonts w:ascii="Times New Roman" w:hAnsi="Times New Roman"/>
          <w:sz w:val="22"/>
          <w:szCs w:val="28"/>
        </w:rPr>
        <w:t>：</w:t>
      </w:r>
      <w:r>
        <w:rPr>
          <w:rFonts w:hint="eastAsia" w:ascii="Times New Roman" w:hAnsi="Times New Roman"/>
          <w:sz w:val="22"/>
          <w:szCs w:val="28"/>
        </w:rPr>
        <w:t>柱形催化剂进行径向颗粒强度测定时，必须水平放置，确保压杆沿径向施压。</w:t>
      </w:r>
    </w:p>
    <w:p w14:paraId="172EAD4C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操作规范：测试过程中应保持仪器清洁干燥，检测完成后使用毛刷清理碎屑。</w:t>
      </w:r>
    </w:p>
    <w:p w14:paraId="45E0A7E7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定期校准：定期使用砝码校准力值，保证数据准确度。</w:t>
      </w:r>
    </w:p>
    <w:p w14:paraId="5696145F">
      <w:pPr>
        <w:pStyle w:val="5"/>
        <w:spacing w:before="40" w:after="40" w:line="300" w:lineRule="auto"/>
        <w:rPr>
          <w:rFonts w:ascii="Times New Roman" w:hAnsi="Times New Roman"/>
          <w:sz w:val="24"/>
          <w:szCs w:val="22"/>
        </w:rPr>
      </w:pPr>
      <w:r>
        <w:rPr>
          <w:rFonts w:hint="eastAsia" w:ascii="Times New Roman" w:hAnsi="Times New Roman"/>
          <w:sz w:val="24"/>
          <w:szCs w:val="22"/>
        </w:rPr>
        <w:t xml:space="preserve">6 </w:t>
      </w:r>
      <w:r>
        <w:rPr>
          <w:rFonts w:ascii="Times New Roman" w:hAnsi="Times New Roman"/>
          <w:sz w:val="24"/>
          <w:szCs w:val="22"/>
        </w:rPr>
        <w:t>结论</w:t>
      </w:r>
    </w:p>
    <w:p w14:paraId="569856FA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ascii="Times New Roman" w:hAnsi="Times New Roman"/>
          <w:sz w:val="22"/>
          <w:szCs w:val="28"/>
        </w:rPr>
        <w:t>本方案依据《HG/T 2782-2024 化工催化剂颗粒抗压碎力的测定》行业标准及《GB/T 44750-2024 颗粒 抗压强度的测量》国家标准，结合HM-KD系列颗粒强度测定仪，提供了标准化的柱形催化剂</w:t>
      </w:r>
      <w:r>
        <w:rPr>
          <w:rFonts w:hint="eastAsia" w:ascii="Times New Roman" w:hAnsi="Times New Roman"/>
          <w:sz w:val="22"/>
          <w:szCs w:val="28"/>
        </w:rPr>
        <w:t>颗粒强度</w:t>
      </w:r>
      <w:r>
        <w:rPr>
          <w:rFonts w:ascii="Times New Roman" w:hAnsi="Times New Roman"/>
          <w:sz w:val="22"/>
          <w:szCs w:val="28"/>
        </w:rPr>
        <w:t>测定方法。该方法针对柱形催化剂的特点，规定了</w:t>
      </w:r>
      <w:r>
        <w:rPr>
          <w:rFonts w:hint="eastAsia" w:ascii="Times New Roman" w:hAnsi="Times New Roman"/>
          <w:sz w:val="22"/>
          <w:szCs w:val="28"/>
        </w:rPr>
        <w:t>不同</w:t>
      </w:r>
      <w:r>
        <w:rPr>
          <w:rFonts w:ascii="Times New Roman" w:hAnsi="Times New Roman"/>
          <w:sz w:val="22"/>
          <w:szCs w:val="28"/>
        </w:rPr>
        <w:t>施压</w:t>
      </w:r>
      <w:r>
        <w:rPr>
          <w:rFonts w:hint="eastAsia" w:ascii="Times New Roman" w:hAnsi="Times New Roman"/>
          <w:sz w:val="22"/>
          <w:szCs w:val="28"/>
        </w:rPr>
        <w:t>方向及</w:t>
      </w:r>
      <w:r>
        <w:rPr>
          <w:rFonts w:ascii="Times New Roman" w:hAnsi="Times New Roman"/>
          <w:sz w:val="22"/>
          <w:szCs w:val="28"/>
        </w:rPr>
        <w:t>放置</w:t>
      </w:r>
      <w:r>
        <w:rPr>
          <w:rFonts w:hint="eastAsia" w:ascii="Times New Roman" w:hAnsi="Times New Roman"/>
          <w:sz w:val="22"/>
          <w:szCs w:val="28"/>
        </w:rPr>
        <w:t>位置</w:t>
      </w:r>
      <w:r>
        <w:rPr>
          <w:rFonts w:ascii="Times New Roman" w:hAnsi="Times New Roman"/>
          <w:sz w:val="22"/>
          <w:szCs w:val="28"/>
        </w:rPr>
        <w:t>的测定</w:t>
      </w:r>
      <w:r>
        <w:rPr>
          <w:rFonts w:hint="eastAsia" w:ascii="Times New Roman" w:hAnsi="Times New Roman"/>
          <w:sz w:val="22"/>
          <w:szCs w:val="28"/>
        </w:rPr>
        <w:t>方式</w:t>
      </w:r>
      <w:r>
        <w:rPr>
          <w:rFonts w:ascii="Times New Roman" w:hAnsi="Times New Roman"/>
          <w:sz w:val="22"/>
          <w:szCs w:val="28"/>
        </w:rPr>
        <w:t>，操作简便、自动化程度高、结果准确可靠，可有效评价柱形催化剂在运输、装填及使用过程中的抗破碎能力，适用于催化剂生产企业质量控制、研发部门工艺优化、用户来料验收以及科研机构催化剂材料研究等应用场景。</w:t>
      </w:r>
    </w:p>
    <w:p w14:paraId="2D4DA630">
      <w:pPr>
        <w:pStyle w:val="5"/>
        <w:spacing w:before="40" w:after="40" w:line="300" w:lineRule="auto"/>
        <w:rPr>
          <w:rFonts w:ascii="Times New Roman" w:hAnsi="Times New Roman"/>
          <w:sz w:val="24"/>
          <w:szCs w:val="22"/>
        </w:rPr>
      </w:pPr>
      <w:r>
        <w:rPr>
          <w:rFonts w:hint="eastAsia" w:ascii="Times New Roman" w:hAnsi="Times New Roman"/>
          <w:sz w:val="24"/>
          <w:szCs w:val="22"/>
        </w:rPr>
        <w:t xml:space="preserve">7 </w:t>
      </w:r>
      <w:r>
        <w:rPr>
          <w:rFonts w:ascii="Times New Roman" w:hAnsi="Times New Roman"/>
          <w:sz w:val="24"/>
          <w:szCs w:val="22"/>
        </w:rPr>
        <w:t>参考文献</w:t>
      </w:r>
    </w:p>
    <w:p w14:paraId="16ED5276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[1] GB/T 44750-2024 颗粒 抗压强度的测量[S].</w:t>
      </w:r>
    </w:p>
    <w:p w14:paraId="2981363C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[2] GB/T 41948 颗粒表征 样品准备[S].</w:t>
      </w:r>
    </w:p>
    <w:p w14:paraId="5D0A6C91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[3] HG/T 2782-2024 化工催化剂颗粒抗压碎力的测定[S].</w:t>
      </w:r>
    </w:p>
    <w:p w14:paraId="73F3EF88">
      <w:pPr>
        <w:spacing w:line="300" w:lineRule="auto"/>
        <w:ind w:firstLine="440" w:firstLineChars="200"/>
        <w:rPr>
          <w:rFonts w:ascii="Times New Roman" w:hAnsi="Times New Roman"/>
          <w:sz w:val="22"/>
          <w:szCs w:val="28"/>
        </w:rPr>
      </w:pPr>
      <w:r>
        <w:rPr>
          <w:rFonts w:hint="eastAsia" w:ascii="Times New Roman" w:hAnsi="Times New Roman"/>
          <w:sz w:val="22"/>
          <w:szCs w:val="28"/>
        </w:rPr>
        <w:t>[4] HG/T 2783-2020 分子筛抗压碎力试验方法[S].</w:t>
      </w:r>
    </w:p>
    <w:p w14:paraId="70393415"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pict>
          <v:rect id="_x0000_i1026" o:spt="1" style="height:0.8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9BE73A">
      <w:pPr>
        <w:jc w:val="right"/>
      </w:pPr>
      <w:r>
        <w:rPr>
          <w:rFonts w:hint="eastAsia" w:ascii="Times New Roman" w:hAnsi="Times New Roman"/>
          <w:sz w:val="22"/>
          <w:szCs w:val="28"/>
        </w:rPr>
        <w:t>山东恒美电子科技有限公司 应用研究部</w:t>
      </w:r>
    </w:p>
    <w:sectPr>
      <w:headerReference r:id="rId3" w:type="default"/>
      <w:pgSz w:w="11906" w:h="16838"/>
      <w:pgMar w:top="1440" w:right="1236" w:bottom="1440" w:left="1463" w:header="56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1848C">
    <w:pPr>
      <w:pStyle w:val="7"/>
      <w:jc w:val="left"/>
    </w:pPr>
    <w:r>
      <w:rPr>
        <w:rFonts w:hint="eastAsia"/>
        <w:b/>
        <w:bCs/>
        <w:color w:val="000000" w:themeColor="text1"/>
        <w14:textFill>
          <w14:solidFill>
            <w14:schemeClr w14:val="tx1"/>
          </w14:solidFill>
        </w14:textFill>
      </w:rPr>
      <w:t xml:space="preserve">编号：HM-KD-003  </w:t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t xml:space="preserve"> </w:t>
    </w:r>
    <w:r>
      <w:rPr>
        <w:rFonts w:hint="eastAsia"/>
      </w:rPr>
      <w:t xml:space="preserve">                                                                       </w:t>
    </w:r>
    <w:r>
      <w:drawing>
        <wp:inline distT="0" distB="0" distL="114300" distR="114300">
          <wp:extent cx="620395" cy="191135"/>
          <wp:effectExtent l="0" t="0" r="4445" b="6350"/>
          <wp:docPr id="4" name="图片 3" descr="恒美智造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恒美智造-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0395" cy="191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998"/>
    <w:rsid w:val="000026BD"/>
    <w:rsid w:val="00013C10"/>
    <w:rsid w:val="00036E5A"/>
    <w:rsid w:val="00097D60"/>
    <w:rsid w:val="001443F9"/>
    <w:rsid w:val="001479C6"/>
    <w:rsid w:val="001A1B41"/>
    <w:rsid w:val="001A574A"/>
    <w:rsid w:val="001D5355"/>
    <w:rsid w:val="002D7225"/>
    <w:rsid w:val="003573EE"/>
    <w:rsid w:val="00390940"/>
    <w:rsid w:val="003A1FF3"/>
    <w:rsid w:val="003E7C54"/>
    <w:rsid w:val="004546CD"/>
    <w:rsid w:val="00465CDC"/>
    <w:rsid w:val="004C694D"/>
    <w:rsid w:val="005604CB"/>
    <w:rsid w:val="006012CA"/>
    <w:rsid w:val="00630E4E"/>
    <w:rsid w:val="00637015"/>
    <w:rsid w:val="006C7B66"/>
    <w:rsid w:val="00704162"/>
    <w:rsid w:val="00710452"/>
    <w:rsid w:val="007149D4"/>
    <w:rsid w:val="007D27CC"/>
    <w:rsid w:val="0081610F"/>
    <w:rsid w:val="0083508F"/>
    <w:rsid w:val="008530DF"/>
    <w:rsid w:val="008664E9"/>
    <w:rsid w:val="008F3B71"/>
    <w:rsid w:val="00960F40"/>
    <w:rsid w:val="009E128F"/>
    <w:rsid w:val="00A83CE8"/>
    <w:rsid w:val="00AA0344"/>
    <w:rsid w:val="00AD1E3F"/>
    <w:rsid w:val="00AD2831"/>
    <w:rsid w:val="00AE04F2"/>
    <w:rsid w:val="00AF077D"/>
    <w:rsid w:val="00B12998"/>
    <w:rsid w:val="00B47A50"/>
    <w:rsid w:val="00BE2D94"/>
    <w:rsid w:val="00C441C9"/>
    <w:rsid w:val="00C5423D"/>
    <w:rsid w:val="00D46D67"/>
    <w:rsid w:val="00DD42C1"/>
    <w:rsid w:val="00E4031E"/>
    <w:rsid w:val="00F06A00"/>
    <w:rsid w:val="00F108EB"/>
    <w:rsid w:val="00F24C6D"/>
    <w:rsid w:val="00F41187"/>
    <w:rsid w:val="00F411E7"/>
    <w:rsid w:val="00FA5EBE"/>
    <w:rsid w:val="05290F57"/>
    <w:rsid w:val="07EB0E6D"/>
    <w:rsid w:val="08106068"/>
    <w:rsid w:val="08D917FD"/>
    <w:rsid w:val="09ED5DDC"/>
    <w:rsid w:val="0B3831C9"/>
    <w:rsid w:val="0DF2282E"/>
    <w:rsid w:val="0E341099"/>
    <w:rsid w:val="0ECC307F"/>
    <w:rsid w:val="0EF6634E"/>
    <w:rsid w:val="10442618"/>
    <w:rsid w:val="143A1B47"/>
    <w:rsid w:val="14D94748"/>
    <w:rsid w:val="152A6D51"/>
    <w:rsid w:val="15843DB8"/>
    <w:rsid w:val="15EA028F"/>
    <w:rsid w:val="171001C9"/>
    <w:rsid w:val="186D58D3"/>
    <w:rsid w:val="194A5C14"/>
    <w:rsid w:val="197762DD"/>
    <w:rsid w:val="1B993ECE"/>
    <w:rsid w:val="1BF9122C"/>
    <w:rsid w:val="1C077DEC"/>
    <w:rsid w:val="1CDB6B83"/>
    <w:rsid w:val="1E4C3FDA"/>
    <w:rsid w:val="24B31941"/>
    <w:rsid w:val="29EC7C7E"/>
    <w:rsid w:val="2E755089"/>
    <w:rsid w:val="2E76670C"/>
    <w:rsid w:val="302E681E"/>
    <w:rsid w:val="302F3016"/>
    <w:rsid w:val="30803872"/>
    <w:rsid w:val="309D6644"/>
    <w:rsid w:val="33525999"/>
    <w:rsid w:val="39047736"/>
    <w:rsid w:val="3AB26D1E"/>
    <w:rsid w:val="3BBA23D3"/>
    <w:rsid w:val="3CF278A5"/>
    <w:rsid w:val="3D0F4968"/>
    <w:rsid w:val="3D25588D"/>
    <w:rsid w:val="3DE36A6A"/>
    <w:rsid w:val="3E8459ED"/>
    <w:rsid w:val="443A3C0D"/>
    <w:rsid w:val="45085512"/>
    <w:rsid w:val="46AD1E13"/>
    <w:rsid w:val="499A53C1"/>
    <w:rsid w:val="4DBF0149"/>
    <w:rsid w:val="51071719"/>
    <w:rsid w:val="51484517"/>
    <w:rsid w:val="524B3888"/>
    <w:rsid w:val="52DB01C5"/>
    <w:rsid w:val="53B43507"/>
    <w:rsid w:val="554D2371"/>
    <w:rsid w:val="590D3E93"/>
    <w:rsid w:val="59486D73"/>
    <w:rsid w:val="5BD61242"/>
    <w:rsid w:val="5C5F0CA9"/>
    <w:rsid w:val="5CBA3AE4"/>
    <w:rsid w:val="5DBD37CF"/>
    <w:rsid w:val="5F011E9E"/>
    <w:rsid w:val="5FDE21DF"/>
    <w:rsid w:val="601C6864"/>
    <w:rsid w:val="61A15272"/>
    <w:rsid w:val="63950E07"/>
    <w:rsid w:val="6572240C"/>
    <w:rsid w:val="66CD2666"/>
    <w:rsid w:val="67281F92"/>
    <w:rsid w:val="686F7E78"/>
    <w:rsid w:val="69E06B54"/>
    <w:rsid w:val="6BE4292B"/>
    <w:rsid w:val="6C622CF6"/>
    <w:rsid w:val="6CC91B21"/>
    <w:rsid w:val="72A81D9C"/>
    <w:rsid w:val="72DA4A88"/>
    <w:rsid w:val="735C4085"/>
    <w:rsid w:val="75E1612D"/>
    <w:rsid w:val="78D37FAF"/>
    <w:rsid w:val="7936465C"/>
    <w:rsid w:val="7A831561"/>
    <w:rsid w:val="7B783090"/>
    <w:rsid w:val="7FD8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表格正文"/>
    <w:qFormat/>
    <w:uiPriority w:val="0"/>
    <w:pPr>
      <w:adjustRightInd w:val="0"/>
      <w:snapToGrid w:val="0"/>
      <w:jc w:val="center"/>
    </w:pPr>
    <w:rPr>
      <w:rFonts w:ascii="Times New Roman" w:hAnsi="Times New Roman" w:eastAsia="宋体" w:cs="Times New Roman"/>
      <w:bCs/>
      <w:color w:val="000000"/>
      <w:sz w:val="21"/>
      <w:lang w:val="en-US" w:eastAsia="zh-CN" w:bidi="ar-SA"/>
    </w:rPr>
  </w:style>
  <w:style w:type="paragraph" w:styleId="14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2498</Words>
  <Characters>2763</Characters>
  <Lines>73</Lines>
  <Paragraphs>101</Paragraphs>
  <TotalTime>0</TotalTime>
  <ScaleCrop>false</ScaleCrop>
  <LinksUpToDate>false</LinksUpToDate>
  <CharactersWithSpaces>2833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2026-02-02T08:22:00Z</dcterms:created>
  <dc:creator>Lenovo</dc:creator>
  <cp:lastModifiedBy>马刺不夺冠不改名</cp:lastModifiedBy>
  <dcterms:modified xsi:type="dcterms:W3CDTF">2026-07-20T02:13:32Z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eyJoZGlkIjoiOGI5ODBlY2NiMTA3MWM1MGI0MGZiYzE5NTRmMGUyMzciLCJ1c2VySWQiOiI0NTQwNzM1MzgifQ==</vt:lpwstr>
  </property>
  <property fmtid="{D5CDD505-2E9C-101B-9397-08002B2CF9AE}" pid="4" name="ICV">
    <vt:lpwstr>1F655008DCFF44CFBF45AE4102370CF2_13</vt:lpwstr>
  </property>
</Properties>
</file>