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产学研合作资金支持体系：政策性与市场化协同</w:t>
      </w:r>
    </w:p>
    <w:p>
      <w:pPr>
        <w:ind w:firstLine="480"/>
      </w:pPr>
      <w:r>
        <w:t>在数字经济与实体产业深度融合的当下，作为区域创新体系重要载体的科技公共服务平台与产业创新中心，正面临着前所未有的转型压力。过去，我们往往通过“信息发布窗口”的定位来衡量平台的价值，即单向地收集、展示供需信息。然而，随着海量数据的沉淀与产业需求的迭代，这种粗放式的运营模式已显露出明显的瓶颈。资源沉睡、服务脱节、模式单一，成为制约平台可持续发展的“三座大山”。</w:t>
      </w:r>
    </w:p>
    <w:p>
      <w:pPr>
        <w:ind w:firstLine="480"/>
      </w:pPr>
      <w:r>
        <w:t>如何在碎片化资源中构建深度连接？如何将技术供给与产业需求精准对焦？如何从单一的服务提供者进化为创新生态的构建者？本文将结合数智化转型的前沿实践，探讨如何通过构建以“知识图谱”为底座、以“智能工具”为引擎、以“数智管家”为触角的生态运营架构，实现平台价值交换枢纽的跃升。</w:t>
      </w:r>
    </w:p>
    <w:p>
      <w:pPr>
        <w:ind w:firstLine="480"/>
      </w:pPr>
      <w:r>
        <w:t xml:space="preserve"> 一、 现状诊断：平台运营的“三重困境”</w:t>
      </w:r>
    </w:p>
    <w:p>
      <w:pPr>
        <w:ind w:firstLine="480"/>
      </w:pPr>
      <w:r>
        <w:t>在深入探讨解决方案之前，我们必须清醒地审视当前平台运营中存在的深层痛点。</w:t>
      </w:r>
    </w:p>
    <w:p>
      <w:pPr>
        <w:ind w:firstLine="480"/>
      </w:pPr>
      <w:r>
        <w:t>1. 资源沉睡与“信息孤岛”</w:t>
      </w:r>
    </w:p>
    <w:p>
      <w:pPr>
        <w:ind w:firstLine="480"/>
      </w:pPr>
      <w:r>
        <w:t>尽管大部分平台都宣称拥有丰富的资源库，但实质上，大量科技成果、专利数据、专家信息仍处于“休眠”状态。科研机构的成果多停留在实验室阶段，缺乏可视化的价值表达；企业的技术需求往往隐含在生产经营中，难以被外部精准捕捉。数据之间缺乏关联，形成了一个个孤立的数据孤岛，导致平台的数据资产未能转化为实际的业务资产。</w:t>
      </w:r>
    </w:p>
    <w:p>
      <w:pPr>
        <w:ind w:firstLine="480"/>
      </w:pPr>
      <w:r>
        <w:t>2. 服务脱节与“人工瓶颈”</w:t>
      </w:r>
    </w:p>
    <w:p>
      <w:pPr>
        <w:ind w:firstLine="480"/>
      </w:pPr>
      <w:r>
        <w:t>传统的服务模式高度依赖人工经验。技术转移经纪人往往需要花费大量时间在资料搜集、初步筛选、文本撰写上，服务响应速度慢，且难以覆盖全生命周期。这种“人找服务”的模式，使得服务深度往往止步于浅层的“查资料”，无法深入到“评价值”、“做匹配”等核心环节，导致供需双方的对接往往停留在意向层面，难以落地。</w:t>
      </w:r>
    </w:p>
    <w:p>
      <w:pPr>
        <w:ind w:firstLine="480"/>
      </w:pPr>
      <w:r>
        <w:t>3. 模式单一与“粘性不足”</w:t>
      </w:r>
    </w:p>
    <w:p>
      <w:pPr>
        <w:ind w:firstLine="480"/>
      </w:pPr>
      <w:r>
        <w:t>许多平台长期依赖政府购买服务或简单的活动赞助维持运营，缺乏自我造血机制和持续的用户互动。服务内容同质化严重，用户习惯于被动接收信息，缺乏主动参与生态构建的动力。这种模式下，平台不仅难以形成规模效应，更难以在激烈的市场竞争中确立独特的生态地位。</w:t>
      </w:r>
    </w:p>
    <w:p>
      <w:pPr>
        <w:ind w:firstLine="480"/>
      </w:pPr>
      <w:r>
        <w:t xml:space="preserve"> 二、 生态架构：构建“底座-引擎-触角”的数智体系</w:t>
      </w:r>
    </w:p>
    <w:p>
      <w:pPr>
        <w:ind w:firstLine="480"/>
      </w:pPr>
      <w:r>
        <w:t>要破解上述困境，必须对平台进行全栈式的数智化重构。参考行业领先的数智平台经验，我们应构建一个包含底层基础设施（知识图谱）、中层服务引擎（数智工具）和顶层应用触角（数智管家/智能体）的完整生态架构。</w:t>
      </w:r>
    </w:p>
    <w:p>
      <w:pPr>
        <w:ind w:firstLine="480"/>
      </w:pPr>
      <w:r>
        <w:t>1. 底层基础设施：区域创新知识图谱</w:t>
      </w:r>
    </w:p>
    <w:p>
      <w:pPr>
        <w:ind w:firstLine="480"/>
      </w:pPr>
      <w:r>
        <w:t>知识图谱是平台生态的“大脑”，它不再仅仅是一张静态的数据库，而是通过自然语言处理（NLP）和机器学习技术，将零散的数据实体（高校、院所、企业、专家、专利、项目、产业）关联成网。</w:t>
      </w:r>
    </w:p>
    <w:p>
      <w:pPr>
        <w:ind w:firstLine="480"/>
      </w:pPr>
      <w:r>
        <w:t>通过构建“区域创新知识图谱”，运营者可以直观地看到区域内创新要素的分布图谱。例如，系统可以自动识别出某区域的产业链短板——某关键零部件完全依赖外部输入，从而为政府制定产业规划提供依据。这种全景式的视角，是实现数据驱动决策的基础。</w:t>
      </w:r>
    </w:p>
    <w:p>
      <w:pPr>
        <w:ind w:firstLine="480"/>
      </w:pPr>
      <w:r>
        <w:t>2. 中层服务引擎：60大数智工具矩阵</w:t>
      </w:r>
    </w:p>
    <w:p>
      <w:pPr>
        <w:ind w:firstLine="480"/>
      </w:pPr>
      <w:r>
        <w:t>有了图谱底座，我们需要配套强大的工具集来执行具体的业务动作。科易数智梳理出的60个具体工具，覆盖了成果转化、产业服务、知识产权等8大领域，构成了“数智工具箱”。</w:t>
      </w:r>
    </w:p>
    <w:p>
      <w:pPr>
        <w:ind w:firstLine="480"/>
      </w:pPr>
      <w:r>
        <w:t>这套工具矩阵的核心价值在于标准化与自动化。它将专家的隐性经验固化为显化的算法模型。例如，“专利价值评估”工具可以依据国家标准，对专利进行多维度打分；“成果推介书生成”工具能将晦涩的技术语言转化为商业语言。这些工具将操作繁琐、主观性强的业务流程自动化，极大提升了运营效率。</w:t>
      </w:r>
    </w:p>
    <w:p>
      <w:pPr>
        <w:ind w:firstLine="480"/>
      </w:pPr>
      <w:r>
        <w:t>3. 顶层应用触角：成果转化智能体</w:t>
      </w:r>
    </w:p>
    <w:p>
      <w:pPr>
        <w:ind w:firstLine="480"/>
      </w:pPr>
      <w:r>
        <w:t>这是平台生态的“心脏”，即“成果转化智能顾问”。它基于大模型和RAG（检索增强生成）技术，具备了自主任务分解与资源调度能力。不同于传统的聊天机器人，它能够理解复杂的指令，自动调用底层的60个工具，完成从需求挖掘、技术匹配到报告生成的全流程闭环。</w:t>
      </w:r>
    </w:p>
    <w:p>
      <w:pPr>
        <w:ind w:firstLine="480"/>
      </w:pPr>
      <w:r>
        <w:t xml:space="preserve"> 三、 关键运营动作设计：将平台打造为“价值交换枢纽”</w:t>
      </w:r>
    </w:p>
    <w:p>
      <w:pPr>
        <w:ind w:firstLine="480"/>
      </w:pPr>
      <w:r>
        <w:t>明确了架构之后，平台运营者需要通过具体的运营动作，将数智化能力转化为实际的业务价值。</w:t>
      </w:r>
    </w:p>
    <w:p>
      <w:pPr>
        <w:ind w:firstLine="480"/>
      </w:pPr>
      <w:r>
        <w:t>动作一：资源加工与资产化——“从数据到资产”</w:t>
      </w:r>
    </w:p>
    <w:p>
      <w:pPr>
        <w:ind w:firstLine="480"/>
      </w:pPr>
      <w:r>
        <w:t>平台运营的第一步是解决“资源沉睡”问题。利用“知识图谱”技术，对沉睡的数据进行清洗、关联和结构化处理。</w:t>
      </w:r>
    </w:p>
    <w:p>
      <w:pPr>
        <w:ind w:firstLine="480"/>
      </w:pPr>
      <w:r>
        <w:t xml:space="preserve">   场景应用：运营方可以定期发布“区域高价值专利地图”或“产业技术需求洞察报告”。通过可视化图谱，将复杂的专利组合关联到具体的产业链节点，让用户一眼看懂技术流向。这种经过加工的资源，不再是冷冰冰的数据，而是具备决策参考价值的资产，能够显著提升平台的专业度与权威性。</w:t>
      </w:r>
    </w:p>
    <w:p>
      <w:pPr>
        <w:ind w:firstLine="480"/>
      </w:pPr>
      <w:r>
        <w:t>动作二：供需匹配与场景化——“从线索到交易”</w:t>
      </w:r>
    </w:p>
    <w:p>
      <w:pPr>
        <w:ind w:firstLine="480"/>
      </w:pPr>
      <w:r>
        <w:t>解决“服务脱节”问题的关键在于精准匹配。利用“技术需求智能响应”和“技术应用场景智能匹配”工具。</w:t>
      </w:r>
    </w:p>
    <w:p>
      <w:pPr>
        <w:ind w:firstLine="480"/>
      </w:pPr>
      <w:r>
        <w:t xml:space="preserve">   场景应用：当企业提出模糊的技术需求（如“需要一种耐高温材料”），智能体可以立即调用图谱资源，在数智工具中检索相关的专利、专家及现有技术方案，并自动生成“应用场景分析图谱”。同时，平台可以基于这些分析，策划线下的“技术供需对接会”，不再是“拉郎配”，而是基于数据画像的精准撮合。这种闭环服务，能显著提升转化率和用户满意度。</w:t>
      </w:r>
    </w:p>
    <w:p>
      <w:pPr>
        <w:ind w:firstLine="480"/>
      </w:pPr>
      <w:r>
        <w:t>动作三：服务标准化与产品化——“从活动到服务”</w:t>
      </w:r>
    </w:p>
    <w:p>
      <w:pPr>
        <w:ind w:firstLine="480"/>
      </w:pPr>
      <w:r>
        <w:t>解决“模式单一”的长效机制是服务的产品化。利用“数智管家”和“数智方案”。</w:t>
      </w:r>
    </w:p>
    <w:p>
      <w:pPr>
        <w:ind w:firstLine="480"/>
      </w:pPr>
      <w:r>
        <w:t xml:space="preserve">   场景应用：平台可以将针对初创企业的服务打包成“概念验证服务包”，利用“概念项目研判”工具自动完成初筛；将针对政府的服务打包成“产业强链补链诊断方案”，利用“产业竞争力评估”工具提供量化分析报告。通过SOP（标准作业程序）化的服务流程，将平台从“组织活动的组织者”转变为“提供标准解决方案的服务商”。</w:t>
      </w:r>
    </w:p>
    <w:p>
      <w:pPr>
        <w:ind w:firstLine="480"/>
      </w:pPr>
      <w:r>
        <w:t xml:space="preserve"> 四、 长期价值与品牌塑造：生态共赢的新图景</w:t>
      </w:r>
    </w:p>
    <w:p>
      <w:pPr>
        <w:ind w:firstLine="480"/>
      </w:pPr>
      <w:r>
        <w:t>数智化改造并非一蹴而就，而是一个持续演进的过程。通过上述运营动作的落地，平台将获得长远的战略价值。</w:t>
      </w:r>
    </w:p>
    <w:p>
      <w:pPr>
        <w:ind w:firstLine="480"/>
      </w:pPr>
      <w:r>
        <w:t>1. 提升资源活性，降低运营成本</w:t>
      </w:r>
    </w:p>
    <w:p>
      <w:pPr>
        <w:ind w:firstLine="480"/>
      </w:pPr>
      <w:r>
        <w:t>当智能体能够处理80%的标准化咨询和检索工作时，运营团队可以将精力集中在复杂的沟通与高价值的撮合上。这不仅降低了人力成本，更重要的是，通过高频的互动，激活了原本沉睡的科研成果，让知识真正流动起来。</w:t>
      </w:r>
    </w:p>
    <w:p>
      <w:pPr>
        <w:ind w:firstLine="480"/>
      </w:pPr>
      <w:r>
        <w:t>2. 构建服务闭环，增强用户粘性</w:t>
      </w:r>
    </w:p>
    <w:p>
      <w:pPr>
        <w:ind w:firstLine="480"/>
      </w:pPr>
      <w:r>
        <w:t>通过“搜资源、问问题、选项目、育经纪、办活动、做培训”的集成系统，平台构建了一个全生命周期的服务闭环。用户在平台上的每一次交互，都在增加图谱的密度，都在优化匹配的算法，从而形成“越用越准、越准越用”的飞轮效应。</w:t>
      </w:r>
    </w:p>
    <w:p>
      <w:pPr>
        <w:ind w:firstLine="480"/>
      </w:pPr>
      <w:r>
        <w:t>3. 塑造生态品牌，引领行业趋势</w:t>
      </w:r>
    </w:p>
    <w:p>
      <w:pPr>
        <w:ind w:firstLine="480"/>
      </w:pPr>
      <w:r>
        <w:t>一个成功运营的平台，将成为区域创新的“操作系统”。它不仅服务本地企业，还能吸引外部资源汇聚。通过展示“数智化招商图谱”、“企业创新体检报告”等高价值产出，平台将树立起行业标杆形象，成为政府、企业、科研机构共同信赖的“创新大脑”。</w:t>
      </w:r>
    </w:p>
    <w:p>
      <w:pPr>
        <w:ind w:firstLine="480"/>
      </w:pPr>
      <w:r>
        <w:t xml:space="preserve"> 结语</w:t>
      </w:r>
    </w:p>
    <w:p>
      <w:pPr>
        <w:ind w:firstLine="480"/>
      </w:pPr>
      <w:r>
        <w:t>科技公共服务平台的运营，正在经历从“信息搬运”到“价值创造”的深刻变革。在这个变革中，数智化不是简单的工具堆砌，而是一场关于生态思维的重塑。</w:t>
      </w:r>
    </w:p>
    <w:p>
      <w:pPr>
        <w:ind w:firstLine="480"/>
      </w:pPr>
      <w:r>
        <w:t>通过部署以知识图谱为核心的数智基础设施，部署以60大工具为支撑的服务引擎，部署以智能体为触角的交互终端，我们将能够打破传统服务的桎梏，将平台真正打造成为连接创新要素、激发产业活力、实现价值交换的枢纽。这不仅是对技术转移模式的升级，更是对区域创新生态体系的一次重塑。在未来，那些能够率先实现数智化转型的平台，将掌握引领产业创新发展的主动权。</w:t>
      </w:r>
    </w:p>
    <w:p>
      <w:r>
        <w:t>观点作者：科易网AI+技术转移研究院-国家科技成果转化（厦门）示范基地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黑体" w:hAnsi="黑体" w:eastAsia="黑体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黑体" w:hAnsi="黑体" w:eastAsia="黑体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黑体" w:hAnsi="黑体" w:eastAsia="黑体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黑体" w:hAnsi="黑体" w:eastAsia="黑体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黑体" w:hAnsi="黑体" w:eastAsia="黑体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黑体" w:hAnsi="黑体" w:eastAsia="黑体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